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A3B"/>
          <w:sz w:val="28"/>
        </w:rPr>
        <w:t>ORTHOSENSE</w:t>
      </w:r>
    </w:p>
    <w:p>
      <w:pPr>
        <w:jc w:val="center"/>
      </w:pPr>
      <w:r>
        <w:rPr>
          <w:b/>
          <w:sz w:val="46"/>
        </w:rPr>
        <w:t>Frontend Product Specification — Phase 0</w:t>
      </w:r>
    </w:p>
    <w:p>
      <w:pPr>
        <w:jc w:val="center"/>
      </w:pPr>
      <w:r>
        <w:rPr>
          <w:i/>
        </w:rPr>
        <w:t>Next.js · TypeScript · Healthcare-oriented monitoring prototype</w:t>
      </w:r>
    </w:p>
    <w:p>
      <w:r>
        <w:t>Status: Planning baseline. Backend contracts and clinical/measurement definitions require confirmation.</w:t>
      </w:r>
    </w:p>
    <w:p>
      <w:pPr>
        <w:pStyle w:val="Heading1"/>
      </w:pPr>
      <w:r>
        <w:t>1. Product vision</w:t>
      </w:r>
    </w:p>
    <w:p>
      <w:r>
        <w:t>OrthoSense is a university rehabilitation-monitoring prototype. Its web frontend lets authorized clinicians and patients review sessions, sensor measurements, device connectivity, alerts, and reports. The interface must prioritize clarity, data provenance, accessibility, and safe treatment of missing or uncertain measurements.</w:t>
      </w:r>
    </w:p>
    <w:p>
      <w:pPr>
        <w:pStyle w:val="Heading1"/>
      </w:pPr>
      <w:r>
        <w:t>2. Confirmed project context</w:t>
      </w:r>
    </w:p>
    <w:p>
      <w:pPr>
        <w:pStyle w:val="ListBullet"/>
      </w:pPr>
      <w:r>
        <w:t>ESP32-S3 edge controller is the intended embedded platform.</w:t>
      </w:r>
    </w:p>
    <w:p>
      <w:pPr>
        <w:pStyle w:val="ListBullet"/>
      </w:pPr>
      <w:r>
        <w:t>Project materials list MPU6050/GY-521 IMUs, three planned FSR402 sensors, four planned NTC thermistors, a vibration sensor, a 16-bit ADC board, an OLED, a buzzer, and power components.</w:t>
      </w:r>
    </w:p>
    <w:p>
      <w:pPr>
        <w:pStyle w:val="ListBullet"/>
      </w:pPr>
      <w:r>
        <w:t>The proposal discusses local edge processing, sensor fault handling, BLE telemetry, gateway/cloud storage, and clinician analytics.</w:t>
      </w:r>
    </w:p>
    <w:p>
      <w:pPr>
        <w:pStyle w:val="ListBullet"/>
      </w:pPr>
      <w:r>
        <w:t>The exact ADC chip, final calibration definitions, backend endpoints, authentication contract, and live-data transport remain unconfirmed.</w:t>
      </w:r>
    </w:p>
    <w:p>
      <w:pPr>
        <w:pStyle w:val="Heading1"/>
      </w:pPr>
      <w:r>
        <w:t>3. MVP goals</w:t>
      </w:r>
    </w:p>
    <w:p>
      <w:pPr>
        <w:pStyle w:val="ListBullet"/>
      </w:pPr>
      <w:r>
        <w:t>Clinician dashboard with patient/session summaries, alerts, and device status.</w:t>
      </w:r>
    </w:p>
    <w:p>
      <w:pPr>
        <w:pStyle w:val="ListBullet"/>
      </w:pPr>
      <w:r>
        <w:t>Patient directory, patient detail, session list, and session detail views.</w:t>
      </w:r>
    </w:p>
    <w:p>
      <w:pPr>
        <w:pStyle w:val="ListBullet"/>
      </w:pPr>
      <w:r>
        <w:t>Charts and tables for knee angle, FSR readings, temperature, and vibration events where available.</w:t>
      </w:r>
    </w:p>
    <w:p>
      <w:pPr>
        <w:pStyle w:val="ListBullet"/>
      </w:pPr>
      <w:r>
        <w:t>Device and sensor health states including connected, disconnected, stale, invalid, degraded, and unknown.</w:t>
      </w:r>
    </w:p>
    <w:p>
      <w:pPr>
        <w:pStyle w:val="ListBullet"/>
      </w:pPr>
      <w:r>
        <w:t>Alert review and acknowledgement UI with a clear distinction between acknowledgement and resolution.</w:t>
      </w:r>
    </w:p>
    <w:p>
      <w:pPr>
        <w:pStyle w:val="ListBullet"/>
      </w:pPr>
      <w:r>
        <w:t>Patient portal for the patient's own permitted sessions and trends.</w:t>
      </w:r>
    </w:p>
    <w:p>
      <w:pPr>
        <w:pStyle w:val="ListBullet"/>
      </w:pPr>
      <w:r>
        <w:t>Report preview/export where implemented and supported.</w:t>
      </w:r>
    </w:p>
    <w:p>
      <w:pPr>
        <w:pStyle w:val="ListBullet"/>
      </w:pPr>
      <w:r>
        <w:t>Typed mock services, loading/error/empty/offline states, responsive layouts, accessibility checks, and tests.</w:t>
      </w:r>
    </w:p>
    <w:p>
      <w:pPr>
        <w:pStyle w:val="Heading1"/>
      </w:pPr>
      <w:r>
        <w:t>4. Non-goals</w:t>
      </w:r>
    </w:p>
    <w:p>
      <w:pPr>
        <w:pStyle w:val="ListBullet"/>
      </w:pPr>
      <w:r>
        <w:t>No diagnosis, treatment prescription, or automatic rehabilitation progression.</w:t>
      </w:r>
    </w:p>
    <w:p>
      <w:pPr>
        <w:pStyle w:val="ListBullet"/>
      </w:pPr>
      <w:r>
        <w:t>No claim that the prototype prevents injury or is clinically validated.</w:t>
      </w:r>
    </w:p>
    <w:p>
      <w:pPr>
        <w:pStyle w:val="ListBullet"/>
      </w:pPr>
      <w:r>
        <w:t>No fake live telemetry or invented production API endpoints.</w:t>
      </w:r>
    </w:p>
    <w:p>
      <w:pPr>
        <w:pStyle w:val="ListBullet"/>
      </w:pPr>
      <w:r>
        <w:t>No real patient information in mock data, fixtures, or screenshots.</w:t>
      </w:r>
    </w:p>
    <w:p>
      <w:pPr>
        <w:pStyle w:val="ListBullet"/>
      </w:pPr>
      <w:r>
        <w:t>No production authentication/authorization implementation until the backend contract is confirmed.</w:t>
      </w:r>
    </w:p>
    <w:p>
      <w:pPr>
        <w:pStyle w:val="Heading1"/>
      </w:pPr>
      <w:r>
        <w:t>5. Users and permissions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Role</w:t>
            </w:r>
          </w:p>
        </w:tc>
        <w:tc>
          <w:tcPr>
            <w:tcW w:type="dxa" w:w="3312"/>
          </w:tcPr>
          <w:p>
            <w:r>
              <w:t>Primary access</w:t>
            </w:r>
          </w:p>
        </w:tc>
        <w:tc>
          <w:tcPr>
            <w:tcW w:type="dxa" w:w="3312"/>
          </w:tcPr>
          <w:p>
            <w:r>
              <w:t>Important restriction</w:t>
            </w:r>
          </w:p>
        </w:tc>
      </w:tr>
      <w:tr>
        <w:tc>
          <w:tcPr>
            <w:tcW w:type="dxa" w:w="3312"/>
            <w:vAlign w:val="center"/>
          </w:tcPr>
          <w:p>
            <w:r>
              <w:t>Clinician</w:t>
            </w:r>
          </w:p>
        </w:tc>
        <w:tc>
          <w:tcPr>
            <w:tcW w:type="dxa" w:w="3312"/>
            <w:vAlign w:val="center"/>
          </w:tcPr>
          <w:p>
            <w:r>
              <w:t>Assigned patient profiles, sessions, measurements, devices, alerts, reports</w:t>
            </w:r>
          </w:p>
        </w:tc>
        <w:tc>
          <w:tcPr>
            <w:tcW w:type="dxa" w:w="3312"/>
            <w:vAlign w:val="center"/>
          </w:tcPr>
          <w:p>
            <w:r>
              <w:t>Backend enforces assigned-patient scope; actions require permission.</w:t>
            </w:r>
          </w:p>
        </w:tc>
      </w:tr>
      <w:tr>
        <w:tc>
          <w:tcPr>
            <w:tcW w:type="dxa" w:w="3312"/>
            <w:vAlign w:val="center"/>
          </w:tcPr>
          <w:p>
            <w:r>
              <w:t>Patient</w:t>
            </w:r>
          </w:p>
        </w:tc>
        <w:tc>
          <w:tcPr>
            <w:tcW w:type="dxa" w:w="3312"/>
            <w:vAlign w:val="center"/>
          </w:tcPr>
          <w:p>
            <w:r>
              <w:t>Own permitted sessions, trends, device status, reports</w:t>
            </w:r>
          </w:p>
        </w:tc>
        <w:tc>
          <w:tcPr>
            <w:tcW w:type="dxa" w:w="3312"/>
            <w:vAlign w:val="center"/>
          </w:tcPr>
          <w:p>
            <w:r>
              <w:t>Must not access other patients' records.</w:t>
            </w:r>
          </w:p>
        </w:tc>
      </w:tr>
      <w:tr>
        <w:tc>
          <w:tcPr>
            <w:tcW w:type="dxa" w:w="3312"/>
            <w:vAlign w:val="center"/>
          </w:tcPr>
          <w:p>
            <w:r>
              <w:t>Administrator</w:t>
            </w:r>
          </w:p>
        </w:tc>
        <w:tc>
          <w:tcPr>
            <w:tcW w:type="dxa" w:w="3312"/>
            <w:vAlign w:val="center"/>
          </w:tcPr>
          <w:p>
            <w:r>
              <w:t>User/device metadata and audit events if supported</w:t>
            </w:r>
          </w:p>
        </w:tc>
        <w:tc>
          <w:tcPr>
            <w:tcW w:type="dxa" w:w="3312"/>
            <w:vAlign w:val="center"/>
          </w:tcPr>
          <w:p>
            <w:r>
              <w:t>Admin role does not automatically grant permission to alter clinical data.</w:t>
            </w:r>
          </w:p>
        </w:tc>
      </w:tr>
      <w:tr>
        <w:tc>
          <w:tcPr>
            <w:tcW w:type="dxa" w:w="3312"/>
            <w:vAlign w:val="center"/>
          </w:tcPr>
          <w:p>
            <w:r>
              <w:t>Visitor</w:t>
            </w:r>
          </w:p>
        </w:tc>
        <w:tc>
          <w:tcPr>
            <w:tcW w:type="dxa" w:w="3312"/>
            <w:vAlign w:val="center"/>
          </w:tcPr>
          <w:p>
            <w:r>
              <w:t>Public pages</w:t>
            </w:r>
          </w:p>
        </w:tc>
        <w:tc>
          <w:tcPr>
            <w:tcW w:type="dxa" w:w="3312"/>
            <w:vAlign w:val="center"/>
          </w:tcPr>
          <w:p>
            <w:r>
              <w:t>No protected records.</w:t>
            </w:r>
          </w:p>
        </w:tc>
      </w:tr>
    </w:tbl>
    <w:p>
      <w:pPr>
        <w:pStyle w:val="Heading1"/>
      </w:pPr>
      <w:r>
        <w:t>6. Route inventory</w:t>
      </w:r>
    </w:p>
    <w:tbl>
      <w:tblPr>
        <w:tblStyle w:val="LightShading-Accent1"/>
        <w:tblW w:type="auto" w:w="0"/>
        <w:tblLook w:firstColumn="1" w:firstRow="1" w:lastColumn="0" w:lastRow="0" w:noHBand="0" w:noVBand="1" w:val="04A0"/>
      </w:tblPr>
      <w:tblGrid>
        <w:gridCol w:w="4968"/>
        <w:gridCol w:w="4968"/>
      </w:tblGrid>
      <w:tr>
        <w:tc>
          <w:tcPr>
            <w:tcW w:type="dxa" w:w="4968"/>
          </w:tcPr>
          <w:p>
            <w:r>
              <w:t>Route</w:t>
            </w:r>
          </w:p>
        </w:tc>
        <w:tc>
          <w:tcPr>
            <w:tcW w:type="dxa" w:w="4968"/>
          </w:tcPr>
          <w:p>
            <w:r>
              <w:t>Purpose</w:t>
            </w:r>
          </w:p>
        </w:tc>
      </w:tr>
      <w:tr>
        <w:tc>
          <w:tcPr>
            <w:tcW w:type="dxa" w:w="4968"/>
          </w:tcPr>
          <w:p>
            <w:r>
              <w:t>/</w:t>
            </w:r>
          </w:p>
        </w:tc>
        <w:tc>
          <w:tcPr>
            <w:tcW w:type="dxa" w:w="4968"/>
          </w:tcPr>
          <w:p>
            <w:r>
              <w:t>Public landing page</w:t>
            </w:r>
          </w:p>
        </w:tc>
      </w:tr>
      <w:tr>
        <w:tc>
          <w:tcPr>
            <w:tcW w:type="dxa" w:w="4968"/>
          </w:tcPr>
          <w:p>
            <w:r>
              <w:t>/login</w:t>
            </w:r>
          </w:p>
        </w:tc>
        <w:tc>
          <w:tcPr>
            <w:tcW w:type="dxa" w:w="4968"/>
          </w:tcPr>
          <w:p>
            <w:r>
              <w:t>Sign-in UI</w:t>
            </w:r>
          </w:p>
        </w:tc>
      </w:tr>
      <w:tr>
        <w:tc>
          <w:tcPr>
            <w:tcW w:type="dxa" w:w="4968"/>
          </w:tcPr>
          <w:p>
            <w:r>
              <w:t>/forgot-password</w:t>
            </w:r>
          </w:p>
        </w:tc>
        <w:tc>
          <w:tcPr>
            <w:tcW w:type="dxa" w:w="4968"/>
          </w:tcPr>
          <w:p>
            <w:r>
              <w:t>Password recovery UI</w:t>
            </w:r>
          </w:p>
        </w:tc>
      </w:tr>
      <w:tr>
        <w:tc>
          <w:tcPr>
            <w:tcW w:type="dxa" w:w="4968"/>
          </w:tcPr>
          <w:p>
            <w:r>
              <w:t>/privacy</w:t>
            </w:r>
          </w:p>
        </w:tc>
        <w:tc>
          <w:tcPr>
            <w:tcW w:type="dxa" w:w="4968"/>
          </w:tcPr>
          <w:p>
            <w:r>
              <w:t>Privacy information</w:t>
            </w:r>
          </w:p>
        </w:tc>
      </w:tr>
      <w:tr>
        <w:tc>
          <w:tcPr>
            <w:tcW w:type="dxa" w:w="4968"/>
          </w:tcPr>
          <w:p>
            <w:r>
              <w:t>/accessibility</w:t>
            </w:r>
          </w:p>
        </w:tc>
        <w:tc>
          <w:tcPr>
            <w:tcW w:type="dxa" w:w="4968"/>
          </w:tcPr>
          <w:p>
            <w:r>
              <w:t>Accessibility statement</w:t>
            </w:r>
          </w:p>
        </w:tc>
      </w:tr>
      <w:tr>
        <w:tc>
          <w:tcPr>
            <w:tcW w:type="dxa" w:w="4968"/>
          </w:tcPr>
          <w:p>
            <w:r>
              <w:t>/dashboard</w:t>
            </w:r>
          </w:p>
        </w:tc>
        <w:tc>
          <w:tcPr>
            <w:tcW w:type="dxa" w:w="4968"/>
          </w:tcPr>
          <w:p>
            <w:r>
              <w:t>Clinician overview</w:t>
            </w:r>
          </w:p>
        </w:tc>
      </w:tr>
      <w:tr>
        <w:tc>
          <w:tcPr>
            <w:tcW w:type="dxa" w:w="4968"/>
          </w:tcPr>
          <w:p>
            <w:r>
              <w:t>/patients</w:t>
            </w:r>
          </w:p>
        </w:tc>
        <w:tc>
          <w:tcPr>
            <w:tcW w:type="dxa" w:w="4968"/>
          </w:tcPr>
          <w:p>
            <w:r>
              <w:t>Patient directory</w:t>
            </w:r>
          </w:p>
        </w:tc>
      </w:tr>
      <w:tr>
        <w:tc>
          <w:tcPr>
            <w:tcW w:type="dxa" w:w="4968"/>
          </w:tcPr>
          <w:p>
            <w:r>
              <w:t>/patients/[patientId]</w:t>
            </w:r>
          </w:p>
        </w:tc>
        <w:tc>
          <w:tcPr>
            <w:tcW w:type="dxa" w:w="4968"/>
          </w:tcPr>
          <w:p>
            <w:r>
              <w:t>Patient profile</w:t>
            </w:r>
          </w:p>
        </w:tc>
      </w:tr>
      <w:tr>
        <w:tc>
          <w:tcPr>
            <w:tcW w:type="dxa" w:w="4968"/>
          </w:tcPr>
          <w:p>
            <w:r>
              <w:t>/sessions</w:t>
            </w:r>
          </w:p>
        </w:tc>
        <w:tc>
          <w:tcPr>
            <w:tcW w:type="dxa" w:w="4968"/>
          </w:tcPr>
          <w:p>
            <w:r>
              <w:t>Session list</w:t>
            </w:r>
          </w:p>
        </w:tc>
      </w:tr>
      <w:tr>
        <w:tc>
          <w:tcPr>
            <w:tcW w:type="dxa" w:w="4968"/>
          </w:tcPr>
          <w:p>
            <w:r>
              <w:t>/sessions/[sessionId]</w:t>
            </w:r>
          </w:p>
        </w:tc>
        <w:tc>
          <w:tcPr>
            <w:tcW w:type="dxa" w:w="4968"/>
          </w:tcPr>
          <w:p>
            <w:r>
              <w:t>Session measurements and details</w:t>
            </w:r>
          </w:p>
        </w:tc>
      </w:tr>
      <w:tr>
        <w:tc>
          <w:tcPr>
            <w:tcW w:type="dxa" w:w="4968"/>
          </w:tcPr>
          <w:p>
            <w:r>
              <w:t>/monitoring</w:t>
            </w:r>
          </w:p>
        </w:tc>
        <w:tc>
          <w:tcPr>
            <w:tcW w:type="dxa" w:w="4968"/>
          </w:tcPr>
          <w:p>
            <w:r>
              <w:t>Live-monitoring shell</w:t>
            </w:r>
          </w:p>
        </w:tc>
      </w:tr>
      <w:tr>
        <w:tc>
          <w:tcPr>
            <w:tcW w:type="dxa" w:w="4968"/>
          </w:tcPr>
          <w:p>
            <w:r>
              <w:t>/alerts</w:t>
            </w:r>
          </w:p>
        </w:tc>
        <w:tc>
          <w:tcPr>
            <w:tcW w:type="dxa" w:w="4968"/>
          </w:tcPr>
          <w:p>
            <w:r>
              <w:t>Alert history</w:t>
            </w:r>
          </w:p>
        </w:tc>
      </w:tr>
      <w:tr>
        <w:tc>
          <w:tcPr>
            <w:tcW w:type="dxa" w:w="4968"/>
          </w:tcPr>
          <w:p>
            <w:r>
              <w:t>/devices</w:t>
            </w:r>
          </w:p>
        </w:tc>
        <w:tc>
          <w:tcPr>
            <w:tcW w:type="dxa" w:w="4968"/>
          </w:tcPr>
          <w:p>
            <w:r>
              <w:t>Device inventory</w:t>
            </w:r>
          </w:p>
        </w:tc>
      </w:tr>
      <w:tr>
        <w:tc>
          <w:tcPr>
            <w:tcW w:type="dxa" w:w="4968"/>
          </w:tcPr>
          <w:p>
            <w:r>
              <w:t>/devices/[deviceId]</w:t>
            </w:r>
          </w:p>
        </w:tc>
        <w:tc>
          <w:tcPr>
            <w:tcW w:type="dxa" w:w="4968"/>
          </w:tcPr>
          <w:p>
            <w:r>
              <w:t>Device details and sensor health</w:t>
            </w:r>
          </w:p>
        </w:tc>
      </w:tr>
      <w:tr>
        <w:tc>
          <w:tcPr>
            <w:tcW w:type="dxa" w:w="4968"/>
          </w:tcPr>
          <w:p>
            <w:r>
              <w:t>/reports</w:t>
            </w:r>
          </w:p>
        </w:tc>
        <w:tc>
          <w:tcPr>
            <w:tcW w:type="dxa" w:w="4968"/>
          </w:tcPr>
          <w:p>
            <w:r>
              <w:t>Report preview and export</w:t>
            </w:r>
          </w:p>
        </w:tc>
      </w:tr>
      <w:tr>
        <w:tc>
          <w:tcPr>
            <w:tcW w:type="dxa" w:w="4968"/>
          </w:tcPr>
          <w:p>
            <w:r>
              <w:t>/settings</w:t>
            </w:r>
          </w:p>
        </w:tc>
        <w:tc>
          <w:tcPr>
            <w:tcW w:type="dxa" w:w="4968"/>
          </w:tcPr>
          <w:p>
            <w:r>
              <w:t>Account preferences</w:t>
            </w:r>
          </w:p>
        </w:tc>
      </w:tr>
      <w:tr>
        <w:tc>
          <w:tcPr>
            <w:tcW w:type="dxa" w:w="4968"/>
          </w:tcPr>
          <w:p>
            <w:r>
              <w:t>/my-dashboard</w:t>
            </w:r>
          </w:p>
        </w:tc>
        <w:tc>
          <w:tcPr>
            <w:tcW w:type="dxa" w:w="4968"/>
          </w:tcPr>
          <w:p>
            <w:r>
              <w:t>Patient dashboard</w:t>
            </w:r>
          </w:p>
        </w:tc>
      </w:tr>
      <w:tr>
        <w:tc>
          <w:tcPr>
            <w:tcW w:type="dxa" w:w="4968"/>
          </w:tcPr>
          <w:p>
            <w:r>
              <w:t>/my-sessions</w:t>
            </w:r>
          </w:p>
        </w:tc>
        <w:tc>
          <w:tcPr>
            <w:tcW w:type="dxa" w:w="4968"/>
          </w:tcPr>
          <w:p>
            <w:r>
              <w:t>Patient session history</w:t>
            </w:r>
          </w:p>
        </w:tc>
      </w:tr>
      <w:tr>
        <w:tc>
          <w:tcPr>
            <w:tcW w:type="dxa" w:w="4968"/>
          </w:tcPr>
          <w:p>
            <w:r>
              <w:t>/my-progress</w:t>
            </w:r>
          </w:p>
        </w:tc>
        <w:tc>
          <w:tcPr>
            <w:tcW w:type="dxa" w:w="4968"/>
          </w:tcPr>
          <w:p>
            <w:r>
              <w:t>Patient trends</w:t>
            </w:r>
          </w:p>
        </w:tc>
      </w:tr>
      <w:tr>
        <w:tc>
          <w:tcPr>
            <w:tcW w:type="dxa" w:w="4968"/>
          </w:tcPr>
          <w:p>
            <w:r>
              <w:t>/my-device</w:t>
            </w:r>
          </w:p>
        </w:tc>
        <w:tc>
          <w:tcPr>
            <w:tcW w:type="dxa" w:w="4968"/>
          </w:tcPr>
          <w:p>
            <w:r>
              <w:t>Patient device status</w:t>
            </w:r>
          </w:p>
        </w:tc>
      </w:tr>
      <w:tr>
        <w:tc>
          <w:tcPr>
            <w:tcW w:type="dxa" w:w="4968"/>
          </w:tcPr>
          <w:p>
            <w:r>
              <w:t>/admin/users</w:t>
            </w:r>
          </w:p>
        </w:tc>
        <w:tc>
          <w:tcPr>
            <w:tcW w:type="dxa" w:w="4968"/>
          </w:tcPr>
          <w:p>
            <w:r>
              <w:t>Administrative user management</w:t>
            </w:r>
          </w:p>
        </w:tc>
      </w:tr>
      <w:tr>
        <w:tc>
          <w:tcPr>
            <w:tcW w:type="dxa" w:w="4968"/>
          </w:tcPr>
          <w:p>
            <w:r>
              <w:t>/admin/audit-log</w:t>
            </w:r>
          </w:p>
        </w:tc>
        <w:tc>
          <w:tcPr>
            <w:tcW w:type="dxa" w:w="4968"/>
          </w:tcPr>
          <w:p>
            <w:r>
              <w:t>Audit-event review, if supported</w:t>
            </w:r>
          </w:p>
        </w:tc>
      </w:tr>
    </w:tbl>
    <w:p>
      <w:pPr>
        <w:pStyle w:val="Heading1"/>
      </w:pPr>
      <w:r>
        <w:t>7. Data presentation rules</w:t>
      </w:r>
    </w:p>
    <w:p>
      <w:pPr>
        <w:pStyle w:val="ListBullet"/>
      </w:pPr>
      <w:r>
        <w:t>Knee angle: degrees, timestamp, source/method if known, and validity/freshness.</w:t>
      </w:r>
    </w:p>
    <w:p>
      <w:pPr>
        <w:pStyle w:val="ListBullet"/>
      </w:pPr>
      <w:r>
        <w:t>FSR: raw ADC counts or a documented calibrated estimate; do not label raw counts as force or pressure.</w:t>
      </w:r>
    </w:p>
    <w:p>
      <w:pPr>
        <w:pStyle w:val="ListBullet"/>
      </w:pPr>
      <w:r>
        <w:t>Temperature: degrees Celsius if that is the defined unit.</w:t>
      </w:r>
    </w:p>
    <w:p>
      <w:pPr>
        <w:pStyle w:val="ListBullet"/>
      </w:pPr>
      <w:r>
        <w:t>Vibration: event timestamp and available attributes; do not imply calibrated impact force.</w:t>
      </w:r>
    </w:p>
    <w:p>
      <w:pPr>
        <w:pStyle w:val="ListBullet"/>
      </w:pPr>
      <w:r>
        <w:t>Missing data must not silently become zero; stale, invalid, estimated, and synthetic data must be distinguished.</w:t>
      </w:r>
    </w:p>
    <w:p>
      <w:pPr>
        <w:pStyle w:val="ListBullet"/>
      </w:pPr>
      <w:r>
        <w:t>Charts need units, time range, labels, tooltips, and a textual or tabular alternative.</w:t>
      </w:r>
    </w:p>
    <w:p>
      <w:pPr>
        <w:pStyle w:val="Heading1"/>
      </w:pPr>
      <w:r>
        <w:t>8. Quality and security requirements</w:t>
      </w:r>
    </w:p>
    <w:p>
      <w:pPr>
        <w:pStyle w:val="ListBullet"/>
      </w:pPr>
      <w:r>
        <w:t>Target WCAG 2.2 AA and verify with automated and manual testing.</w:t>
      </w:r>
    </w:p>
    <w:p>
      <w:pPr>
        <w:pStyle w:val="ListBullet"/>
      </w:pPr>
      <w:r>
        <w:t>Use semantic HTML, visible keyboard focus, accessible labels, and sufficient contrast.</w:t>
      </w:r>
    </w:p>
    <w:p>
      <w:pPr>
        <w:pStyle w:val="ListBullet"/>
      </w:pPr>
      <w:r>
        <w:t>Use TypeScript strict mode, typed service boundaries, and tests for important data transformations.</w:t>
      </w:r>
    </w:p>
    <w:p>
      <w:pPr>
        <w:pStyle w:val="ListBullet"/>
      </w:pPr>
      <w:r>
        <w:t>Backend must authorize every protected operation; hidden navigation is not security.</w:t>
      </w:r>
    </w:p>
    <w:p>
      <w:pPr>
        <w:pStyle w:val="ListBullet"/>
      </w:pPr>
      <w:r>
        <w:t>Keep secrets out of client bundles and real patient information out of mock data.</w:t>
      </w:r>
    </w:p>
    <w:p>
      <w:pPr>
        <w:pStyle w:val="ListBullet"/>
      </w:pPr>
      <w:r>
        <w:t>Handle loading, empty, error, offline, stale, unauthorized, and not-found states.</w:t>
      </w:r>
    </w:p>
    <w:p>
      <w:pPr>
        <w:pStyle w:val="ListBullet"/>
      </w:pPr>
      <w:r>
        <w:t>Do not claim clinical, regulatory, or production readiness without evidence.</w:t>
      </w:r>
    </w:p>
    <w:p>
      <w:pPr>
        <w:pStyle w:val="Heading1"/>
      </w:pPr>
      <w:r>
        <w:t>9. Phase 0 assumptions and unresolved decisions</w:t>
      </w:r>
    </w:p>
    <w:p>
      <w:pPr>
        <w:pStyle w:val="ListBullet"/>
      </w:pPr>
      <w:r>
        <w:t>Backend framework, version, repository, API schemas, and authentication contract.</w:t>
      </w:r>
    </w:p>
    <w:p>
      <w:pPr>
        <w:pStyle w:val="ListBullet"/>
      </w:pPr>
      <w:r>
        <w:t>Live data transport: WebSocket, server-sent events, polling, or another mechanism.</w:t>
      </w:r>
    </w:p>
    <w:p>
      <w:pPr>
        <w:pStyle w:val="ListBullet"/>
      </w:pPr>
      <w:r>
        <w:t>Clinician assignment scope and exact patient/administrator permissions.</w:t>
      </w:r>
    </w:p>
    <w:p>
      <w:pPr>
        <w:pStyle w:val="ListBullet"/>
      </w:pPr>
      <w:r>
        <w:t>Sensor units, calibration metadata, angle definition, data quality flags, and stale-data thresholds.</w:t>
      </w:r>
    </w:p>
    <w:p>
      <w:pPr>
        <w:pStyle w:val="ListBullet"/>
      </w:pPr>
      <w:r>
        <w:t>Timezone, retention, consent, privacy jurisdiction, and audit requirements.</w:t>
      </w:r>
    </w:p>
    <w:p>
      <w:pPr>
        <w:pStyle w:val="ListBullet"/>
      </w:pPr>
      <w:r>
        <w:t>Report fields, export format, and whether the patient portal is part of the first demonstration.</w:t>
      </w:r>
    </w:p>
    <w:p>
      <w:pPr>
        <w:pStyle w:val="ListBullet"/>
      </w:pPr>
      <w:r>
        <w:t>Deployment target, staging environment, browser support, and CI requirements.</w:t>
      </w:r>
    </w:p>
    <w:p>
      <w:pPr>
        <w:pStyle w:val="Heading1"/>
      </w:pPr>
      <w:r>
        <w:t>10. Official references</w:t>
      </w:r>
    </w:p>
    <w:p>
      <w:pPr>
        <w:pStyle w:val="ListBullet"/>
      </w:pPr>
      <w:r>
        <w:t>Next.js App Router: https://nextjs.org/docs/app</w:t>
      </w:r>
    </w:p>
    <w:p>
      <w:pPr>
        <w:pStyle w:val="ListBullet"/>
      </w:pPr>
      <w:r>
        <w:t>Next.js project structure: https://nextjs.org/docs/app/getting-started/project-structure</w:t>
      </w:r>
    </w:p>
    <w:p>
      <w:pPr>
        <w:pStyle w:val="ListBullet"/>
      </w:pPr>
      <w:r>
        <w:t>NHS Design System: https://service-manual.nhs.uk/design-system</w:t>
      </w:r>
    </w:p>
    <w:p>
      <w:pPr>
        <w:pStyle w:val="ListBullet"/>
      </w:pPr>
      <w:r>
        <w:t>WCAG 2.2: https://www.w3.org/TR/WCAG22/</w:t>
      </w:r>
    </w:p>
    <w:p>
      <w:pPr>
        <w:pStyle w:val="ListBullet"/>
      </w:pPr>
      <w:r>
        <w:t>Next.js data security: https://nextjs.org/docs/app/guides/data-security</w:t>
      </w:r>
    </w:p>
    <w:p>
      <w:pPr>
        <w:pStyle w:val="ListBullet"/>
      </w:pPr>
      <w:r>
        <w:t>HL7 FHIR Observation: https://hl7.org/fhir/R5/observation-profiles.html</w:t>
      </w:r>
    </w:p>
    <w:p>
      <w:pPr>
        <w:pStyle w:val="ListBullet"/>
      </w:pPr>
      <w:r>
        <w:t>HL7 FHIR Device: https://hl7.org/fhir/R5/device.html</w:t>
      </w:r>
    </w:p>
    <w:p>
      <w:r>
        <w:t>FHIR links are references for future interoperability. The project's data must be explicitly mapped and reviewed; it is not automatically FHIR-compliant.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A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2A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42A3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