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F5496"/>
          <w:sz w:val="52"/>
        </w:rPr>
        <w:t>RESTOCK PRIORITY SCORING MODEL</w:t>
      </w:r>
    </w:p>
    <w:p>
      <w:pPr>
        <w:jc w:val="center"/>
      </w:pPr>
      <w:r>
        <w:rPr>
          <w:color w:val="595959"/>
          <w:sz w:val="32"/>
        </w:rPr>
        <w:t>Mathematical Framework &amp; Methodology</w:t>
        <w:br/>
        <w:t>Approval Document</w:t>
      </w:r>
    </w:p>
    <w:p/>
    <w:p>
      <w:pPr>
        <w:jc w:val="center"/>
      </w:pPr>
      <w:r>
        <w:rPr>
          <w:color w:val="2F5496"/>
        </w:rPr>
        <w:t>────────────────────────────────────────────────────────────</w:t>
      </w:r>
    </w:p>
    <w:p/>
    <w:p>
      <w:pPr>
        <w:jc w:val="center"/>
      </w:pPr>
      <w:r>
        <w:rPr>
          <w:b/>
          <w:sz w:val="22"/>
        </w:rPr>
        <w:t xml:space="preserve">Document Type: </w:t>
      </w:r>
      <w:r>
        <w:rPr>
          <w:sz w:val="22"/>
        </w:rPr>
        <w:t>Technical Specification for Financial Review</w:t>
      </w:r>
    </w:p>
    <w:p>
      <w:pPr>
        <w:jc w:val="center"/>
      </w:pPr>
      <w:r>
        <w:rPr>
          <w:b/>
          <w:sz w:val="22"/>
        </w:rPr>
        <w:t xml:space="preserve">Version: </w:t>
      </w:r>
      <w:r>
        <w:rPr>
          <w:sz w:val="22"/>
        </w:rPr>
        <w:t>1.0</w:t>
      </w:r>
    </w:p>
    <w:p>
      <w:pPr>
        <w:jc w:val="center"/>
      </w:pPr>
      <w:r>
        <w:rPr>
          <w:b/>
          <w:sz w:val="22"/>
        </w:rPr>
        <w:t xml:space="preserve">Date: </w:t>
      </w:r>
      <w:r>
        <w:rPr>
          <w:sz w:val="22"/>
        </w:rPr>
        <w:t>March 17, 2026</w:t>
      </w:r>
    </w:p>
    <w:p>
      <w:pPr>
        <w:jc w:val="center"/>
      </w:pPr>
      <w:r>
        <w:rPr>
          <w:b/>
          <w:sz w:val="22"/>
        </w:rPr>
        <w:t xml:space="preserve">Classification: </w:t>
      </w:r>
      <w:r>
        <w:rPr>
          <w:sz w:val="22"/>
        </w:rPr>
        <w:t>Internal — Confidential</w:t>
      </w:r>
    </w:p>
    <w:p>
      <w:pPr>
        <w:jc w:val="center"/>
      </w:pPr>
      <w:r>
        <w:rPr>
          <w:b/>
          <w:sz w:val="22"/>
        </w:rPr>
        <w:t xml:space="preserve">Status: </w:t>
      </w:r>
      <w:r>
        <w:rPr>
          <w:sz w:val="22"/>
        </w:rPr>
        <w:t>Pending Approval</w:t>
      </w:r>
    </w:p>
    <w:p>
      <w:r>
        <w:br w:type="page"/>
      </w:r>
    </w:p>
    <w:p>
      <w:pPr>
        <w:pStyle w:val="Heading1"/>
      </w:pPr>
      <w:r>
        <w:t>Table of Contents</w:t>
      </w:r>
    </w:p>
    <w:p>
      <w:pPr>
        <w:spacing w:after="40" w:before="40"/>
      </w:pPr>
      <w:r>
        <w:t>1. Executive Summary</w:t>
      </w:r>
    </w:p>
    <w:p>
      <w:pPr>
        <w:spacing w:after="40" w:before="40"/>
      </w:pPr>
      <w:r>
        <w:t>2. Purpose &amp; Scope</w:t>
      </w:r>
    </w:p>
    <w:p>
      <w:pPr>
        <w:spacing w:after="40" w:before="40"/>
      </w:pPr>
      <w:r>
        <w:t>3. Master Priority Score Formula</w:t>
      </w:r>
    </w:p>
    <w:p>
      <w:pPr>
        <w:spacing w:after="40" w:before="40"/>
      </w:pPr>
      <w:r>
        <w:t>4. Primary Variables (8 Core Metrics)</w:t>
      </w:r>
    </w:p>
    <w:p>
      <w:pPr>
        <w:spacing w:after="40" w:before="40"/>
      </w:pPr>
      <w:r>
        <w:t xml:space="preserve">    4.1 Demand Rate (D)</w:t>
      </w:r>
    </w:p>
    <w:p>
      <w:pPr>
        <w:spacing w:after="40" w:before="40"/>
      </w:pPr>
      <w:r>
        <w:t xml:space="preserve">    4.2 Stock Level (S)</w:t>
      </w:r>
    </w:p>
    <w:p>
      <w:pPr>
        <w:spacing w:after="40" w:before="40"/>
      </w:pPr>
      <w:r>
        <w:t xml:space="preserve">    4.3 Lead Time (L)</w:t>
      </w:r>
    </w:p>
    <w:p>
      <w:pPr>
        <w:spacing w:after="40" w:before="40"/>
      </w:pPr>
      <w:r>
        <w:t xml:space="preserve">    4.4 Profit Margin (P)</w:t>
      </w:r>
    </w:p>
    <w:p>
      <w:pPr>
        <w:spacing w:after="40" w:before="40"/>
      </w:pPr>
      <w:r>
        <w:t xml:space="preserve">    4.5 Stockout Cost (SC)</w:t>
      </w:r>
    </w:p>
    <w:p>
      <w:pPr>
        <w:spacing w:after="40" w:before="40"/>
      </w:pPr>
      <w:r>
        <w:t xml:space="preserve">    4.6 Holding Cost (HC)</w:t>
      </w:r>
    </w:p>
    <w:p>
      <w:pPr>
        <w:spacing w:after="40" w:before="40"/>
      </w:pPr>
      <w:r>
        <w:t xml:space="preserve">    4.7 Supplier Reliability (SR)</w:t>
      </w:r>
    </w:p>
    <w:p>
      <w:pPr>
        <w:spacing w:after="40" w:before="40"/>
      </w:pPr>
      <w:r>
        <w:t xml:space="preserve">    4.8 Seasonality Index (SE)</w:t>
      </w:r>
    </w:p>
    <w:p>
      <w:pPr>
        <w:spacing w:after="40" w:before="40"/>
      </w:pPr>
      <w:r>
        <w:t>5. External Market Factors (24 Factors)</w:t>
      </w:r>
    </w:p>
    <w:p>
      <w:pPr>
        <w:spacing w:after="40" w:before="40"/>
      </w:pPr>
      <w:r>
        <w:t>6. Dynamic Weight Computation</w:t>
      </w:r>
    </w:p>
    <w:p>
      <w:pPr>
        <w:spacing w:after="40" w:before="40"/>
      </w:pPr>
      <w:r>
        <w:t>7. Normalization Method</w:t>
      </w:r>
    </w:p>
    <w:p>
      <w:pPr>
        <w:spacing w:after="40" w:before="40"/>
      </w:pPr>
      <w:r>
        <w:t>8. Machine Learning Ensemble Method</w:t>
      </w:r>
    </w:p>
    <w:p>
      <w:pPr>
        <w:spacing w:after="40" w:before="40"/>
      </w:pPr>
      <w:r>
        <w:t>9. Priority Tier Classification</w:t>
      </w:r>
    </w:p>
    <w:p>
      <w:pPr>
        <w:spacing w:after="40" w:before="40"/>
      </w:pPr>
      <w:r>
        <w:t>10. Model Validation &amp; Acceptance Criteria</w:t>
      </w:r>
    </w:p>
    <w:p>
      <w:pPr>
        <w:spacing w:after="40" w:before="40"/>
      </w:pPr>
      <w:r>
        <w:t>11. Approval Sign-Off</w:t>
      </w:r>
    </w:p>
    <w:p>
      <w:r>
        <w:br w:type="page"/>
      </w:r>
    </w:p>
    <w:p>
      <w:pPr>
        <w:pStyle w:val="Heading1"/>
      </w:pPr>
      <w:r>
        <w:t>1. Executive Summary</w:t>
      </w:r>
    </w:p>
    <w:p>
      <w:r>
        <w:t>This document presents the mathematical framework and methodology used by the Restock Priority Scoring Model, an automated system designed to determine the optimal restocking order for inventory items (SKUs) in our e-commerce platform.</w:t>
      </w:r>
    </w:p>
    <w:p>
      <w:r>
        <w:t>The model assigns each SKU a Priority Score between 0.00 and 1.00, where a higher score indicates greater urgency for restocking. The score is derived from 8 core inventory variables, modulated by 24 external market and operational factors that dynamically adjust the relative importance (weights) of each variable.</w:t>
      </w:r>
    </w:p>
    <w:p>
      <w:r>
        <w:t>A machine learning ensemble (XGBoost, LightGBM, and a Neural Network) is trained on this scoring framework to generalize patterns and improve prediction accuracy. The ensemble is validated against strict acceptance thresholds (R² &gt; 0.90, MAE &lt; 0.05) to ensure reliability.</w:t>
      </w:r>
    </w:p>
    <w:p>
      <w:r>
        <w:rPr>
          <w:b/>
        </w:rPr>
        <w:t>This document is submitted for review and approval by the Financial Controller to confirm that the equations, variables, and methods are financially sound and appropriate for production use in inventory management decisions.</w:t>
      </w:r>
    </w:p>
    <w:p>
      <w:pPr>
        <w:pStyle w:val="Heading1"/>
      </w:pPr>
      <w:r>
        <w:t>2. Purpose &amp; Scope</w:t>
      </w:r>
    </w:p>
    <w:p>
      <w:pPr>
        <w:pStyle w:val="Heading2"/>
      </w:pPr>
      <w:r>
        <w:t>2.1 Purpose</w:t>
      </w:r>
    </w:p>
    <w:p>
      <w:r>
        <w:t>To automate and optimize the restocking decision process by providing a data-driven, transparent priority ranking for all inventory items. This replaces subjective manual ordering decisions with a mathematically rigorous framework.</w:t>
      </w:r>
    </w:p>
    <w:p>
      <w:pPr>
        <w:pStyle w:val="Heading2"/>
      </w:pPr>
      <w:r>
        <w:t>2.2 Scope</w:t>
      </w:r>
    </w:p>
    <w:p>
      <w:pPr>
        <w:pStyle w:val="ListBullet"/>
      </w:pPr>
      <w:r>
        <w:t>Covers all SKUs managed through the e-commerce platform inventory system.</w:t>
      </w:r>
    </w:p>
    <w:p>
      <w:pPr>
        <w:pStyle w:val="ListBullet"/>
      </w:pPr>
      <w:r>
        <w:t>Incorporates internal inventory metrics and external market conditions.</w:t>
      </w:r>
    </w:p>
    <w:p>
      <w:pPr>
        <w:pStyle w:val="ListBullet"/>
      </w:pPr>
      <w:r>
        <w:t>Produces a daily ranked restock order with actionable priority tiers.</w:t>
      </w:r>
    </w:p>
    <w:p>
      <w:pPr>
        <w:pStyle w:val="ListBullet"/>
      </w:pPr>
      <w:r>
        <w:t>Integrates with the existing backend inventory management system.</w:t>
      </w:r>
    </w:p>
    <w:p>
      <w:pPr>
        <w:pStyle w:val="Heading2"/>
      </w:pPr>
      <w:r>
        <w:t>2.3 Key Assumptions</w:t>
      </w:r>
    </w:p>
    <w:p>
      <w:pPr>
        <w:pStyle w:val="ListBullet"/>
      </w:pPr>
      <w:r>
        <w:t>Historical sales and inventory data is accurate and up to date.</w:t>
      </w:r>
    </w:p>
    <w:p>
      <w:pPr>
        <w:pStyle w:val="ListBullet"/>
      </w:pPr>
      <w:r>
        <w:t>External factor data (market indices, supplier metrics) is refreshed periodically.</w:t>
      </w:r>
    </w:p>
    <w:p>
      <w:pPr>
        <w:pStyle w:val="ListBullet"/>
      </w:pPr>
      <w:r>
        <w:t>All monetary values are in a consistent base currency.</w:t>
      </w:r>
    </w:p>
    <w:p>
      <w:pPr>
        <w:pStyle w:val="ListBullet"/>
      </w:pPr>
      <w:r>
        <w:t>Supplier lead times follow approximately normal distributions.</w:t>
      </w:r>
    </w:p>
    <w:p>
      <w:r>
        <w:br w:type="page"/>
      </w:r>
    </w:p>
    <w:p>
      <w:pPr>
        <w:pStyle w:val="Heading1"/>
      </w:pPr>
      <w:r>
        <w:t>3. Master Priority Score Formula</w:t>
      </w:r>
    </w:p>
    <w:p>
      <w:r>
        <w:t>The Priority Score (PS) for each SKU is computed as a weighted linear combination of eight normalized inventory variables:</w:t>
      </w:r>
    </w:p>
    <w:p>
      <w:pPr>
        <w:spacing w:before="240" w:after="240"/>
        <w:jc w:val="center"/>
      </w:pPr>
      <w:r>
        <w:rPr>
          <w:b/>
          <w:color w:val="2F5496"/>
          <w:sz w:val="26"/>
        </w:rPr>
        <w:t>PS = w₁·D + w₂·(1−S) + w₃·L + w₄·P + w₅·SC + w₆·(1−HC) + w₇·SR + w₈·SE</w:t>
      </w:r>
    </w:p>
    <w:p>
      <w:r>
        <w:t>Where:</w:t>
      </w:r>
    </w:p>
    <w:tbl>
      <w:tblPr>
        <w:tblStyle w:val="TableGrid"/>
        <w:tblW w:type="auto" w:w="0"/>
        <w:jc w:val="center"/>
        <w:tblLook w:firstColumn="1" w:firstRow="1" w:lastColumn="0" w:lastRow="0" w:noHBand="0" w:noVBand="1" w:val="04A0"/>
      </w:tblPr>
      <w:tblGrid>
        <w:gridCol w:w="4703"/>
        <w:gridCol w:w="4703"/>
      </w:tblGrid>
      <w:tr>
        <w:tc>
          <w:tcPr>
            <w:tcW w:type="dxa" w:w="4703"/>
            <w:shd w:fill="2F5496" w:val="clear"/>
          </w:tcPr>
          <w:p>
            <w:pPr>
              <w:jc w:val="center"/>
            </w:pPr>
            <w:r>
              <w:rPr>
                <w:b/>
                <w:color w:val="FFFFFF"/>
                <w:sz w:val="18"/>
              </w:rPr>
              <w:t>Symbol</w:t>
            </w:r>
          </w:p>
        </w:tc>
        <w:tc>
          <w:tcPr>
            <w:tcW w:type="dxa" w:w="4703"/>
            <w:shd w:fill="2F5496" w:val="clear"/>
          </w:tcPr>
          <w:p>
            <w:pPr>
              <w:jc w:val="center"/>
            </w:pPr>
            <w:r>
              <w:rPr>
                <w:b/>
                <w:color w:val="FFFFFF"/>
                <w:sz w:val="18"/>
              </w:rPr>
              <w:t>Description</w:t>
            </w:r>
          </w:p>
        </w:tc>
      </w:tr>
      <w:tr>
        <w:tc>
          <w:tcPr>
            <w:tcW w:type="dxa" w:w="4703"/>
          </w:tcPr>
          <w:p>
            <w:r>
              <w:rPr>
                <w:sz w:val="18"/>
              </w:rPr>
              <w:t>PS</w:t>
            </w:r>
          </w:p>
        </w:tc>
        <w:tc>
          <w:tcPr>
            <w:tcW w:type="dxa" w:w="4703"/>
          </w:tcPr>
          <w:p>
            <w:r>
              <w:rPr>
                <w:sz w:val="18"/>
              </w:rPr>
              <w:t>Priority Score, a value in [0.00, 1.00]. Higher = more urgent.</w:t>
            </w:r>
          </w:p>
        </w:tc>
      </w:tr>
      <w:tr>
        <w:tc>
          <w:tcPr>
            <w:tcW w:type="dxa" w:w="4703"/>
            <w:shd w:fill="D6E4F0" w:val="clear"/>
          </w:tcPr>
          <w:p>
            <w:r>
              <w:rPr>
                <w:sz w:val="18"/>
              </w:rPr>
              <w:t>w₁ to w₈</w:t>
            </w:r>
          </w:p>
        </w:tc>
        <w:tc>
          <w:tcPr>
            <w:tcW w:type="dxa" w:w="4703"/>
            <w:shd w:fill="D6E4F0" w:val="clear"/>
          </w:tcPr>
          <w:p>
            <w:r>
              <w:rPr>
                <w:sz w:val="18"/>
              </w:rPr>
              <w:t>Dynamic weights computed from 24 external factors. Always sum to 1.00.</w:t>
            </w:r>
          </w:p>
        </w:tc>
      </w:tr>
      <w:tr>
        <w:tc>
          <w:tcPr>
            <w:tcW w:type="dxa" w:w="4703"/>
          </w:tcPr>
          <w:p>
            <w:r>
              <w:rPr>
                <w:sz w:val="18"/>
              </w:rPr>
              <w:t>D</w:t>
            </w:r>
          </w:p>
        </w:tc>
        <w:tc>
          <w:tcPr>
            <w:tcW w:type="dxa" w:w="4703"/>
          </w:tcPr>
          <w:p>
            <w:r>
              <w:rPr>
                <w:sz w:val="18"/>
              </w:rPr>
              <w:t>Normalized Demand Rate — how quickly the product is selling.</w:t>
            </w:r>
          </w:p>
        </w:tc>
      </w:tr>
      <w:tr>
        <w:tc>
          <w:tcPr>
            <w:tcW w:type="dxa" w:w="4703"/>
            <w:shd w:fill="D6E4F0" w:val="clear"/>
          </w:tcPr>
          <w:p>
            <w:r>
              <w:rPr>
                <w:sz w:val="18"/>
              </w:rPr>
              <w:t>S</w:t>
            </w:r>
          </w:p>
        </w:tc>
        <w:tc>
          <w:tcPr>
            <w:tcW w:type="dxa" w:w="4703"/>
            <w:shd w:fill="D6E4F0" w:val="clear"/>
          </w:tcPr>
          <w:p>
            <w:r>
              <w:rPr>
                <w:sz w:val="18"/>
              </w:rPr>
              <w:t>Normalized Stock Level — current inventory position. Inverted (1−S) because more stock = less urgency.</w:t>
            </w:r>
          </w:p>
        </w:tc>
      </w:tr>
      <w:tr>
        <w:tc>
          <w:tcPr>
            <w:tcW w:type="dxa" w:w="4703"/>
          </w:tcPr>
          <w:p>
            <w:r>
              <w:rPr>
                <w:sz w:val="18"/>
              </w:rPr>
              <w:t>L</w:t>
            </w:r>
          </w:p>
        </w:tc>
        <w:tc>
          <w:tcPr>
            <w:tcW w:type="dxa" w:w="4703"/>
          </w:tcPr>
          <w:p>
            <w:r>
              <w:rPr>
                <w:sz w:val="18"/>
              </w:rPr>
              <w:t>Normalized Lead Time — supplier delivery time. Longer = more urgent.</w:t>
            </w:r>
          </w:p>
        </w:tc>
      </w:tr>
      <w:tr>
        <w:tc>
          <w:tcPr>
            <w:tcW w:type="dxa" w:w="4703"/>
            <w:shd w:fill="D6E4F0" w:val="clear"/>
          </w:tcPr>
          <w:p>
            <w:r>
              <w:rPr>
                <w:sz w:val="18"/>
              </w:rPr>
              <w:t>P</w:t>
            </w:r>
          </w:p>
        </w:tc>
        <w:tc>
          <w:tcPr>
            <w:tcW w:type="dxa" w:w="4703"/>
            <w:shd w:fill="D6E4F0" w:val="clear"/>
          </w:tcPr>
          <w:p>
            <w:r>
              <w:rPr>
                <w:sz w:val="18"/>
              </w:rPr>
              <w:t>Normalized Profit Margin — product profitability. Higher margin = prioritize restocking.</w:t>
            </w:r>
          </w:p>
        </w:tc>
      </w:tr>
      <w:tr>
        <w:tc>
          <w:tcPr>
            <w:tcW w:type="dxa" w:w="4703"/>
          </w:tcPr>
          <w:p>
            <w:r>
              <w:rPr>
                <w:sz w:val="18"/>
              </w:rPr>
              <w:t>SC</w:t>
            </w:r>
          </w:p>
        </w:tc>
        <w:tc>
          <w:tcPr>
            <w:tcW w:type="dxa" w:w="4703"/>
          </w:tcPr>
          <w:p>
            <w:r>
              <w:rPr>
                <w:sz w:val="18"/>
              </w:rPr>
              <w:t>Normalized Stockout Cost — financial loss if product goes out of stock.</w:t>
            </w:r>
          </w:p>
        </w:tc>
      </w:tr>
      <w:tr>
        <w:tc>
          <w:tcPr>
            <w:tcW w:type="dxa" w:w="4703"/>
            <w:shd w:fill="D6E4F0" w:val="clear"/>
          </w:tcPr>
          <w:p>
            <w:r>
              <w:rPr>
                <w:sz w:val="18"/>
              </w:rPr>
              <w:t>HC</w:t>
            </w:r>
          </w:p>
        </w:tc>
        <w:tc>
          <w:tcPr>
            <w:tcW w:type="dxa" w:w="4703"/>
            <w:shd w:fill="D6E4F0" w:val="clear"/>
          </w:tcPr>
          <w:p>
            <w:r>
              <w:rPr>
                <w:sz w:val="18"/>
              </w:rPr>
              <w:t>Normalized Holding Cost — cost of storing inventory. Inverted (1−HC) because high storage cost = less urgency to add more.</w:t>
            </w:r>
          </w:p>
        </w:tc>
      </w:tr>
      <w:tr>
        <w:tc>
          <w:tcPr>
            <w:tcW w:type="dxa" w:w="4703"/>
          </w:tcPr>
          <w:p>
            <w:r>
              <w:rPr>
                <w:sz w:val="18"/>
              </w:rPr>
              <w:t>SR</w:t>
            </w:r>
          </w:p>
        </w:tc>
        <w:tc>
          <w:tcPr>
            <w:tcW w:type="dxa" w:w="4703"/>
          </w:tcPr>
          <w:p>
            <w:r>
              <w:rPr>
                <w:sz w:val="18"/>
              </w:rPr>
              <w:t>Normalized Supplier Reliability failure rate. Less reliable supplier = order sooner.</w:t>
            </w:r>
          </w:p>
        </w:tc>
      </w:tr>
      <w:tr>
        <w:tc>
          <w:tcPr>
            <w:tcW w:type="dxa" w:w="4703"/>
            <w:shd w:fill="D6E4F0" w:val="clear"/>
          </w:tcPr>
          <w:p>
            <w:r>
              <w:rPr>
                <w:sz w:val="18"/>
              </w:rPr>
              <w:t>SE</w:t>
            </w:r>
          </w:p>
        </w:tc>
        <w:tc>
          <w:tcPr>
            <w:tcW w:type="dxa" w:w="4703"/>
            <w:shd w:fill="D6E4F0" w:val="clear"/>
          </w:tcPr>
          <w:p>
            <w:r>
              <w:rPr>
                <w:sz w:val="18"/>
              </w:rPr>
              <w:t>Normalized Seasonality Index — seasonal demand factor. Peak season = stock up.</w:t>
            </w:r>
          </w:p>
        </w:tc>
      </w:tr>
    </w:tbl>
    <w:p/>
    <w:p>
      <w:r>
        <w:rPr>
          <w:b/>
        </w:rPr>
        <w:t xml:space="preserve">Constraint: </w:t>
      </w:r>
      <w:r>
        <w:t>w₁ + w₂ + w₃ + w₄ + w₅ + w₆ + w₇ + w₈ = 1.00 (weights always sum to unity)</w:t>
      </w:r>
    </w:p>
    <w:p>
      <w:r>
        <w:rPr>
          <w:b/>
        </w:rPr>
        <w:t xml:space="preserve">Output Range: </w:t>
      </w:r>
      <w:r>
        <w:t>0.00 ≤ PS ≤ 1.00 (clipped to this range)</w:t>
      </w:r>
    </w:p>
    <w:p>
      <w:r>
        <w:br w:type="page"/>
      </w:r>
    </w:p>
    <w:p>
      <w:pPr>
        <w:pStyle w:val="Heading1"/>
      </w:pPr>
      <w:r>
        <w:t>4. Primary Variables (8 Core Metrics)</w:t>
      </w:r>
    </w:p>
    <w:p>
      <w:r>
        <w:t>Each of the 8 primary variables captures a distinct aspect of inventory management. Below are the detailed formulas and financial rationale for each.</w:t>
      </w:r>
    </w:p>
    <w:p>
      <w:pPr>
        <w:pStyle w:val="Heading2"/>
      </w:pPr>
      <w:r>
        <w:t>4.1 Demand Rate (D)</w:t>
      </w:r>
    </w:p>
    <w:p>
      <w:r>
        <w:rPr>
          <w:b/>
        </w:rPr>
        <w:t xml:space="preserve">Business Meaning: </w:t>
      </w:r>
      <w:r>
        <w:t>Measures how fast a product is selling. High demand products need priority restocking.</w:t>
      </w:r>
    </w:p>
    <w:p>
      <w:pPr>
        <w:jc w:val="center"/>
      </w:pPr>
      <w:r>
        <w:rPr>
          <w:b/>
          <w:sz w:val="24"/>
        </w:rPr>
        <w:t>D = Total Units Sold / Number of Days</w:t>
      </w:r>
    </w:p>
    <w:p>
      <w:r>
        <w:t>Optionally enhanced with a Weighted Moving Average (WMA) to give more importance to recent sales trends:</w:t>
      </w:r>
    </w:p>
    <w:p>
      <w:pPr>
        <w:jc w:val="center"/>
      </w:pPr>
      <w:r>
        <w:rPr>
          <w:sz w:val="22"/>
        </w:rPr>
        <w:t>WMA = Σ(weight_i × sales_i) / Σ(weights)</w:t>
      </w:r>
    </w:p>
    <w:p>
      <w:r>
        <w:rPr>
          <w:b/>
          <w:color w:val="2F5496"/>
        </w:rPr>
        <w:t xml:space="preserve">Financial Rationale: </w:t>
      </w:r>
      <w:r>
        <w:t>Revenue is directly tied to sales velocity. Products with higher demand rates generate more revenue per day, and running out of these products causes proportionally larger revenue losses.</w:t>
      </w:r>
    </w:p>
    <w:p>
      <w:pPr>
        <w:pStyle w:val="Heading2"/>
      </w:pPr>
      <w:r>
        <w:t>4.2 Stock Level (S)</w:t>
      </w:r>
    </w:p>
    <w:p>
      <w:r>
        <w:rPr>
          <w:b/>
        </w:rPr>
        <w:t xml:space="preserve">Business Meaning: </w:t>
      </w:r>
      <w:r>
        <w:t>Measures how many days of inventory remain at the current consumption rate.</w:t>
      </w:r>
    </w:p>
    <w:p>
      <w:pPr>
        <w:jc w:val="center"/>
      </w:pPr>
      <w:r>
        <w:rPr>
          <w:b/>
          <w:sz w:val="24"/>
        </w:rPr>
        <w:t>Days of Supply = Units on Hand / Demand Rate</w:t>
      </w:r>
    </w:p>
    <w:p>
      <w:pPr>
        <w:jc w:val="center"/>
      </w:pPr>
      <w:r>
        <w:rPr>
          <w:sz w:val="22"/>
        </w:rPr>
        <w:t>Reorder Point = (Demand Rate × Lead Time) + Safety Stock</w:t>
      </w:r>
    </w:p>
    <w:p>
      <w:r>
        <w:rPr>
          <w:b/>
        </w:rPr>
        <w:t xml:space="preserve">Note: </w:t>
      </w:r>
      <w:r>
        <w:t>This variable is INVERTED in the master formula (1−S) because higher stock levels mean LESS urgency to restock.</w:t>
      </w:r>
    </w:p>
    <w:p>
      <w:r>
        <w:rPr>
          <w:b/>
          <w:color w:val="2F5496"/>
        </w:rPr>
        <w:t xml:space="preserve">Financial Rationale: </w:t>
      </w:r>
      <w:r>
        <w:t>Maintaining adequate stock prevents lost sales and backorder costs, while excessive stock ties up working capital. The reorder point formula ensures orders are placed before stock is depleted, accounting for supplier lead times.</w:t>
      </w:r>
    </w:p>
    <w:p>
      <w:pPr>
        <w:pStyle w:val="Heading2"/>
      </w:pPr>
      <w:r>
        <w:t>4.3 Lead Time (L)</w:t>
      </w:r>
    </w:p>
    <w:p>
      <w:r>
        <w:rPr>
          <w:b/>
        </w:rPr>
        <w:t xml:space="preserve">Business Meaning: </w:t>
      </w:r>
      <w:r>
        <w:t>The time (in days) between placing an order and receiving it from the supplier.</w:t>
      </w:r>
    </w:p>
    <w:p>
      <w:pPr>
        <w:jc w:val="center"/>
      </w:pPr>
      <w:r>
        <w:rPr>
          <w:b/>
          <w:sz w:val="24"/>
        </w:rPr>
        <w:t>L_avg = mean(historical lead times)</w:t>
      </w:r>
    </w:p>
    <w:p>
      <w:pPr>
        <w:jc w:val="center"/>
      </w:pPr>
      <w:r>
        <w:rPr>
          <w:b/>
          <w:sz w:val="24"/>
        </w:rPr>
        <w:t>L_adjusted = L_avg + (z × σ_L)</w:t>
      </w:r>
    </w:p>
    <w:p>
      <w:r>
        <w:t>Where z = 1.65 (95% service level confidence) and σ_L is the standard deviation of historical lead times.</w:t>
      </w:r>
    </w:p>
    <w:p>
      <w:r>
        <w:rPr>
          <w:b/>
          <w:color w:val="2F5496"/>
        </w:rPr>
        <w:t xml:space="preserve">Financial Rationale: </w:t>
      </w:r>
      <w:r>
        <w:t>Unpredictable or long lead times increase the risk of stockouts. The adjusted lead time with z-score buffer provides a 95% confidence level that orders will arrive before stock is depleted, reducing emergency procurement costs.</w:t>
      </w:r>
    </w:p>
    <w:p>
      <w:pPr>
        <w:pStyle w:val="Heading2"/>
      </w:pPr>
      <w:r>
        <w:t>4.4 Profit Margin (P)</w:t>
      </w:r>
    </w:p>
    <w:p>
      <w:r>
        <w:rPr>
          <w:b/>
        </w:rPr>
        <w:t xml:space="preserve">Business Meaning: </w:t>
      </w:r>
      <w:r>
        <w:t>The profitability of each unit sold.</w:t>
      </w:r>
    </w:p>
    <w:p>
      <w:pPr>
        <w:jc w:val="center"/>
      </w:pPr>
      <w:r>
        <w:rPr>
          <w:b/>
          <w:sz w:val="22"/>
        </w:rPr>
        <w:t>Contribution Margin = (Selling Price − Variable Cost) / Selling Price × 100%</w:t>
      </w:r>
    </w:p>
    <w:p>
      <w:pPr>
        <w:jc w:val="center"/>
      </w:pPr>
      <w:r>
        <w:rPr>
          <w:sz w:val="22"/>
        </w:rPr>
        <w:t>Gross Margin = (Selling Price − COGS) / Selling Price × 100%</w:t>
      </w:r>
    </w:p>
    <w:p>
      <w:r>
        <w:rPr>
          <w:b/>
          <w:color w:val="2F5496"/>
        </w:rPr>
        <w:t xml:space="preserve">Financial Rationale: </w:t>
      </w:r>
      <w:r>
        <w:t>Higher margin products contribute more to bottom-line profitability per unit sold. Prioritizing restocking of high-margin items maximizes gross profit and return on inventory investment.</w:t>
      </w:r>
    </w:p>
    <w:p>
      <w:pPr>
        <w:pStyle w:val="Heading2"/>
      </w:pPr>
      <w:r>
        <w:t>4.5 Stockout Cost (SC)</w:t>
      </w:r>
    </w:p>
    <w:p>
      <w:r>
        <w:rPr>
          <w:b/>
        </w:rPr>
        <w:t xml:space="preserve">Business Meaning: </w:t>
      </w:r>
      <w:r>
        <w:t>The total financial impact when a product goes out of stock.</w:t>
      </w:r>
    </w:p>
    <w:p>
      <w:pPr>
        <w:jc w:val="center"/>
      </w:pPr>
      <w:r>
        <w:rPr>
          <w:b/>
          <w:sz w:val="22"/>
        </w:rPr>
        <w:t>SC = (Price − Cost) × Q_lost  +  Backorder_Cost × Q_backordered  +  Goodwill_Loss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496" w:val="clear"/>
          </w:tcPr>
          <w:p>
            <w:pPr>
              <w:jc w:val="center"/>
            </w:pPr>
            <w:r>
              <w:rPr>
                <w:b/>
                <w:color w:val="FFFFFF"/>
                <w:sz w:val="18"/>
              </w:rPr>
              <w:t>Component</w:t>
            </w:r>
          </w:p>
        </w:tc>
        <w:tc>
          <w:tcPr>
            <w:tcW w:type="dxa" w:w="3135"/>
            <w:shd w:fill="2F5496" w:val="clear"/>
          </w:tcPr>
          <w:p>
            <w:pPr>
              <w:jc w:val="center"/>
            </w:pPr>
            <w:r>
              <w:rPr>
                <w:b/>
                <w:color w:val="FFFFFF"/>
                <w:sz w:val="18"/>
              </w:rPr>
              <w:t>Formula</w:t>
            </w:r>
          </w:p>
        </w:tc>
        <w:tc>
          <w:tcPr>
            <w:tcW w:type="dxa" w:w="3135"/>
            <w:shd w:fill="2F5496" w:val="clear"/>
          </w:tcPr>
          <w:p>
            <w:pPr>
              <w:jc w:val="center"/>
            </w:pPr>
            <w:r>
              <w:rPr>
                <w:b/>
                <w:color w:val="FFFFFF"/>
                <w:sz w:val="18"/>
              </w:rPr>
              <w:t>Description</w:t>
            </w:r>
          </w:p>
        </w:tc>
      </w:tr>
      <w:tr>
        <w:tc>
          <w:tcPr>
            <w:tcW w:type="dxa" w:w="3135"/>
          </w:tcPr>
          <w:p>
            <w:r>
              <w:rPr>
                <w:sz w:val="18"/>
              </w:rPr>
              <w:t>Lost Sales</w:t>
            </w:r>
          </w:p>
        </w:tc>
        <w:tc>
          <w:tcPr>
            <w:tcW w:type="dxa" w:w="3135"/>
          </w:tcPr>
          <w:p>
            <w:r>
              <w:rPr>
                <w:sz w:val="18"/>
              </w:rPr>
              <w:t>(Price − Cost) × Q_lost</w:t>
            </w:r>
          </w:p>
        </w:tc>
        <w:tc>
          <w:tcPr>
            <w:tcW w:type="dxa" w:w="3135"/>
          </w:tcPr>
          <w:p>
            <w:r>
              <w:rPr>
                <w:sz w:val="18"/>
              </w:rPr>
              <w:t>Profit lost from sales that could not be fulfilled</w:t>
            </w:r>
          </w:p>
        </w:tc>
      </w:tr>
      <w:tr>
        <w:tc>
          <w:tcPr>
            <w:tcW w:type="dxa" w:w="3135"/>
            <w:shd w:fill="D6E4F0" w:val="clear"/>
          </w:tcPr>
          <w:p>
            <w:r>
              <w:rPr>
                <w:sz w:val="18"/>
              </w:rPr>
              <w:t>Backorder Cost</w:t>
            </w:r>
          </w:p>
        </w:tc>
        <w:tc>
          <w:tcPr>
            <w:tcW w:type="dxa" w:w="3135"/>
            <w:shd w:fill="D6E4F0" w:val="clear"/>
          </w:tcPr>
          <w:p>
            <w:r>
              <w:rPr>
                <w:sz w:val="18"/>
              </w:rPr>
              <w:t>Backorder_Cost × Q_backordered</w:t>
            </w:r>
          </w:p>
        </w:tc>
        <w:tc>
          <w:tcPr>
            <w:tcW w:type="dxa" w:w="3135"/>
            <w:shd w:fill="D6E4F0" w:val="clear"/>
          </w:tcPr>
          <w:p>
            <w:r>
              <w:rPr>
                <w:sz w:val="18"/>
              </w:rPr>
              <w:t>Extra cost to expedite delayed orders</w:t>
            </w:r>
          </w:p>
        </w:tc>
      </w:tr>
      <w:tr>
        <w:tc>
          <w:tcPr>
            <w:tcW w:type="dxa" w:w="3135"/>
          </w:tcPr>
          <w:p>
            <w:r>
              <w:rPr>
                <w:sz w:val="18"/>
              </w:rPr>
              <w:t>Goodwill Loss</w:t>
            </w:r>
          </w:p>
        </w:tc>
        <w:tc>
          <w:tcPr>
            <w:tcW w:type="dxa" w:w="3135"/>
          </w:tcPr>
          <w:p>
            <w:r>
              <w:rPr>
                <w:sz w:val="18"/>
              </w:rPr>
              <w:t>Estimated amount</w:t>
            </w:r>
          </w:p>
        </w:tc>
        <w:tc>
          <w:tcPr>
            <w:tcW w:type="dxa" w:w="3135"/>
          </w:tcPr>
          <w:p>
            <w:r>
              <w:rPr>
                <w:sz w:val="18"/>
              </w:rPr>
              <w:t>Reputational damage and customer churn cost</w:t>
            </w:r>
          </w:p>
        </w:tc>
      </w:tr>
    </w:tbl>
    <w:p/>
    <w:p>
      <w:r>
        <w:rPr>
          <w:b/>
          <w:color w:val="2F5496"/>
        </w:rPr>
        <w:t xml:space="preserve">Financial Rationale: </w:t>
      </w:r>
      <w:r>
        <w:t>Stockout costs are often the largest hidden cost in inventory management. This formula captures direct lost profit, operational backorder expenses, and the harder-to-quantify customer goodwill loss that impacts long-term revenue.</w:t>
      </w:r>
    </w:p>
    <w:p>
      <w:pPr>
        <w:pStyle w:val="Heading2"/>
      </w:pPr>
      <w:r>
        <w:t>4.6 Holding Cost (HC)</w:t>
      </w:r>
    </w:p>
    <w:p>
      <w:r>
        <w:rPr>
          <w:b/>
        </w:rPr>
        <w:t xml:space="preserve">Business Meaning: </w:t>
      </w:r>
      <w:r>
        <w:t>The annual cost of keeping one unit in inventory.</w:t>
      </w:r>
    </w:p>
    <w:p>
      <w:pPr>
        <w:jc w:val="center"/>
      </w:pPr>
      <w:r>
        <w:rPr>
          <w:b/>
          <w:sz w:val="24"/>
        </w:rPr>
        <w:t>HC per unit = Unit Cost × Holding Rate</w:t>
      </w:r>
    </w:p>
    <w:p>
      <w:pPr>
        <w:jc w:val="center"/>
      </w:pPr>
      <w:r>
        <w:rPr>
          <w:sz w:val="22"/>
        </w:rPr>
        <w:t>HC total = Average Inventory × Unit Cost × Holding Rate</w:t>
      </w:r>
    </w:p>
    <w:p>
      <w:r>
        <w:t>Default holding rate: 25% of unit cost per year (industry standard includes warehousing, insurance, obsolescence, and opportunity cost of capital).</w:t>
      </w:r>
    </w:p>
    <w:p>
      <w:r>
        <w:rPr>
          <w:b/>
        </w:rPr>
        <w:t xml:space="preserve">Note: </w:t>
      </w:r>
      <w:r>
        <w:t>This variable is INVERTED in the master formula (1−HC) because products with high holding costs are expensive to store, so adding more inventory is less desirable.</w:t>
      </w:r>
    </w:p>
    <w:p>
      <w:r>
        <w:rPr>
          <w:b/>
          <w:color w:val="2F5496"/>
        </w:rPr>
        <w:t xml:space="preserve">Financial Rationale: </w:t>
      </w:r>
      <w:r>
        <w:t>Holding costs represent tied-up working capital. The 25% rate is a widely accepted industry benchmark that accounts for storage, insurance, depreciation, and the opportunity cost of capital that could be deployed elsewhere.</w:t>
      </w:r>
    </w:p>
    <w:p>
      <w:pPr>
        <w:pStyle w:val="Heading2"/>
      </w:pPr>
      <w:r>
        <w:t>4.7 Supplier Reliability (SR)</w:t>
      </w:r>
    </w:p>
    <w:p>
      <w:r>
        <w:rPr>
          <w:b/>
        </w:rPr>
        <w:t xml:space="preserve">Business Meaning: </w:t>
      </w:r>
      <w:r>
        <w:t>A composite score measuring how dependable the supplier is.</w:t>
      </w:r>
    </w:p>
    <w:p>
      <w:pPr>
        <w:jc w:val="center"/>
      </w:pPr>
      <w:r>
        <w:rPr>
          <w:b/>
          <w:sz w:val="24"/>
        </w:rPr>
        <w:t>SR_score = 0.4 × OTD + 0.4 × Fill Rate + 0.2 × Quality Rate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496" w:val="clear"/>
          </w:tcPr>
          <w:p>
            <w:pPr>
              <w:jc w:val="center"/>
            </w:pPr>
            <w:r>
              <w:rPr>
                <w:b/>
                <w:color w:val="FFFFFF"/>
                <w:sz w:val="18"/>
              </w:rPr>
              <w:t>Component</w:t>
            </w:r>
          </w:p>
        </w:tc>
        <w:tc>
          <w:tcPr>
            <w:tcW w:type="dxa" w:w="3135"/>
            <w:shd w:fill="2F5496" w:val="clear"/>
          </w:tcPr>
          <w:p>
            <w:pPr>
              <w:jc w:val="center"/>
            </w:pPr>
            <w:r>
              <w:rPr>
                <w:b/>
                <w:color w:val="FFFFFF"/>
                <w:sz w:val="18"/>
              </w:rPr>
              <w:t>Formula</w:t>
            </w:r>
          </w:p>
        </w:tc>
        <w:tc>
          <w:tcPr>
            <w:tcW w:type="dxa" w:w="3135"/>
            <w:shd w:fill="2F5496" w:val="clear"/>
          </w:tcPr>
          <w:p>
            <w:pPr>
              <w:jc w:val="center"/>
            </w:pPr>
            <w:r>
              <w:rPr>
                <w:b/>
                <w:color w:val="FFFFFF"/>
                <w:sz w:val="18"/>
              </w:rPr>
              <w:t>Weight</w:t>
            </w:r>
          </w:p>
        </w:tc>
      </w:tr>
      <w:tr>
        <w:tc>
          <w:tcPr>
            <w:tcW w:type="dxa" w:w="3135"/>
          </w:tcPr>
          <w:p>
            <w:r>
              <w:rPr>
                <w:sz w:val="18"/>
              </w:rPr>
              <w:t>On-Time Delivery (OTD)</w:t>
            </w:r>
          </w:p>
        </w:tc>
        <w:tc>
          <w:tcPr>
            <w:tcW w:type="dxa" w:w="3135"/>
          </w:tcPr>
          <w:p>
            <w:r>
              <w:rPr>
                <w:sz w:val="18"/>
              </w:rPr>
              <w:t>On-Time Deliveries / Total Orders</w:t>
            </w:r>
          </w:p>
        </w:tc>
        <w:tc>
          <w:tcPr>
            <w:tcW w:type="dxa" w:w="3135"/>
          </w:tcPr>
          <w:p>
            <w:r>
              <w:rPr>
                <w:sz w:val="18"/>
              </w:rPr>
              <w:t>40%</w:t>
            </w:r>
          </w:p>
        </w:tc>
      </w:tr>
      <w:tr>
        <w:tc>
          <w:tcPr>
            <w:tcW w:type="dxa" w:w="3135"/>
            <w:shd w:fill="D6E4F0" w:val="clear"/>
          </w:tcPr>
          <w:p>
            <w:r>
              <w:rPr>
                <w:sz w:val="18"/>
              </w:rPr>
              <w:t>Fill Rate (FR)</w:t>
            </w:r>
          </w:p>
        </w:tc>
        <w:tc>
          <w:tcPr>
            <w:tcW w:type="dxa" w:w="3135"/>
            <w:shd w:fill="D6E4F0" w:val="clear"/>
          </w:tcPr>
          <w:p>
            <w:r>
              <w:rPr>
                <w:sz w:val="18"/>
              </w:rPr>
              <w:t>Units Delivered / Units Ordered</w:t>
            </w:r>
          </w:p>
        </w:tc>
        <w:tc>
          <w:tcPr>
            <w:tcW w:type="dxa" w:w="3135"/>
            <w:shd w:fill="D6E4F0" w:val="clear"/>
          </w:tcPr>
          <w:p>
            <w:r>
              <w:rPr>
                <w:sz w:val="18"/>
              </w:rPr>
              <w:t>40%</w:t>
            </w:r>
          </w:p>
        </w:tc>
      </w:tr>
      <w:tr>
        <w:tc>
          <w:tcPr>
            <w:tcW w:type="dxa" w:w="3135"/>
          </w:tcPr>
          <w:p>
            <w:r>
              <w:rPr>
                <w:sz w:val="18"/>
              </w:rPr>
              <w:t>Quality Rate (QR)</w:t>
            </w:r>
          </w:p>
        </w:tc>
        <w:tc>
          <w:tcPr>
            <w:tcW w:type="dxa" w:w="3135"/>
          </w:tcPr>
          <w:p>
            <w:r>
              <w:rPr>
                <w:sz w:val="18"/>
              </w:rPr>
              <w:t>Units passing inspection / Total units</w:t>
            </w:r>
          </w:p>
        </w:tc>
        <w:tc>
          <w:tcPr>
            <w:tcW w:type="dxa" w:w="3135"/>
          </w:tcPr>
          <w:p>
            <w:r>
              <w:rPr>
                <w:sz w:val="18"/>
              </w:rPr>
              <w:t>20%</w:t>
            </w:r>
          </w:p>
        </w:tc>
      </w:tr>
    </w:tbl>
    <w:p/>
    <w:p>
      <w:pPr>
        <w:jc w:val="center"/>
      </w:pPr>
      <w:r>
        <w:rPr>
          <w:b/>
          <w:sz w:val="22"/>
        </w:rPr>
        <w:t>SR_failure = 1 − SR_score</w:t>
      </w:r>
    </w:p>
    <w:p>
      <w:r>
        <w:t>The model uses SR_failure (unreliability) as the input — less reliable suppliers increase restock urgency because we need to order earlier to compensate for delivery uncertainty.</w:t>
      </w:r>
    </w:p>
    <w:p>
      <w:r>
        <w:rPr>
          <w:b/>
          <w:color w:val="2F5496"/>
        </w:rPr>
        <w:t xml:space="preserve">Financial Rationale: </w:t>
      </w:r>
      <w:r>
        <w:t>Unreliable suppliers increase the effective lead time and the probability of stockouts. The weighted composite balances delivery timeliness, order completeness, and product quality — all of which directly affect cost of goods and customer satisfaction.</w:t>
      </w:r>
    </w:p>
    <w:p>
      <w:pPr>
        <w:pStyle w:val="Heading2"/>
      </w:pPr>
      <w:r>
        <w:t>4.8 Seasonality Index (SE)</w:t>
      </w:r>
    </w:p>
    <w:p>
      <w:r>
        <w:rPr>
          <w:b/>
        </w:rPr>
        <w:t xml:space="preserve">Business Meaning: </w:t>
      </w:r>
      <w:r>
        <w:t>Measures how demand for a product varies by season or time period.</w:t>
      </w:r>
    </w:p>
    <w:p>
      <w:pPr>
        <w:jc w:val="center"/>
      </w:pPr>
      <w:r>
        <w:rPr>
          <w:b/>
          <w:sz w:val="24"/>
        </w:rPr>
        <w:t>SE_t = Average Demand in Period t / Overall Average Demand</w:t>
      </w:r>
    </w:p>
    <w:p>
      <w:r>
        <w:t>SE &gt; 1.0 indicates a peak demand period (restock urgently). SE &lt; 1.0 indicates an off-peak period (less urgency). SE = 1.0 means average demand.</w:t>
      </w:r>
    </w:p>
    <w:p>
      <w:r>
        <w:rPr>
          <w:b/>
          <w:color w:val="2F5496"/>
        </w:rPr>
        <w:t xml:space="preserve">Financial Rationale: </w:t>
      </w:r>
      <w:r>
        <w:t>Seasonal demand patterns directly impact revenue. Failing to stock adequately before peak seasons (holidays, back-to-school, etc.) results in significant lost sales. Conversely, overstocking for off-peak periods ties up capital unnecessarily.</w:t>
      </w:r>
    </w:p>
    <w:p>
      <w:r>
        <w:br w:type="page"/>
      </w:r>
    </w:p>
    <w:p>
      <w:pPr>
        <w:pStyle w:val="Heading1"/>
      </w:pPr>
      <w:r>
        <w:t>5. External Market Factors (24 Factors)</w:t>
      </w:r>
    </w:p>
    <w:p>
      <w:r>
        <w:t>The 24 external factors capture real-world market, financial, and operational conditions that influence how important each primary variable should be at any given time. They are organized into 8 groups, one per weight.</w:t>
      </w:r>
    </w:p>
    <w:p>
      <w:pPr>
        <w:pStyle w:val="Heading3"/>
      </w:pPr>
      <w:r>
        <w:t>Group 1 — Demand Factors (→ w₁)</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18"/>
              </w:rPr>
              <w:t>Code</w:t>
            </w:r>
          </w:p>
        </w:tc>
        <w:tc>
          <w:tcPr>
            <w:tcW w:type="dxa" w:w="2351"/>
            <w:shd w:fill="2F5496" w:val="clear"/>
          </w:tcPr>
          <w:p>
            <w:pPr>
              <w:jc w:val="center"/>
            </w:pPr>
            <w:r>
              <w:rPr>
                <w:b/>
                <w:color w:val="FFFFFF"/>
                <w:sz w:val="18"/>
              </w:rPr>
              <w:t>Factor Name</w:t>
            </w:r>
          </w:p>
        </w:tc>
        <w:tc>
          <w:tcPr>
            <w:tcW w:type="dxa" w:w="2351"/>
            <w:shd w:fill="2F5496" w:val="clear"/>
          </w:tcPr>
          <w:p>
            <w:pPr>
              <w:jc w:val="center"/>
            </w:pPr>
            <w:r>
              <w:rPr>
                <w:b/>
                <w:color w:val="FFFFFF"/>
                <w:sz w:val="18"/>
              </w:rPr>
              <w:t>Formula</w:t>
            </w:r>
          </w:p>
        </w:tc>
        <w:tc>
          <w:tcPr>
            <w:tcW w:type="dxa" w:w="2351"/>
            <w:shd w:fill="2F5496" w:val="clear"/>
          </w:tcPr>
          <w:p>
            <w:pPr>
              <w:jc w:val="center"/>
            </w:pPr>
            <w:r>
              <w:rPr>
                <w:b/>
                <w:color w:val="FFFFFF"/>
                <w:sz w:val="18"/>
              </w:rPr>
              <w:t>Business Meaning</w:t>
            </w:r>
          </w:p>
        </w:tc>
      </w:tr>
      <w:tr>
        <w:tc>
          <w:tcPr>
            <w:tcW w:type="dxa" w:w="2351"/>
          </w:tcPr>
          <w:p>
            <w:r>
              <w:rPr>
                <w:sz w:val="18"/>
              </w:rPr>
              <w:t>MV</w:t>
            </w:r>
          </w:p>
        </w:tc>
        <w:tc>
          <w:tcPr>
            <w:tcW w:type="dxa" w:w="2351"/>
          </w:tcPr>
          <w:p>
            <w:r>
              <w:rPr>
                <w:sz w:val="18"/>
              </w:rPr>
              <w:t>Market Volatility</w:t>
            </w:r>
          </w:p>
        </w:tc>
        <w:tc>
          <w:tcPr>
            <w:tcW w:type="dxa" w:w="2351"/>
          </w:tcPr>
          <w:p>
            <w:r>
              <w:rPr>
                <w:sz w:val="18"/>
              </w:rPr>
              <w:t>std(prices) / mean(prices)</w:t>
            </w:r>
          </w:p>
        </w:tc>
        <w:tc>
          <w:tcPr>
            <w:tcW w:type="dxa" w:w="2351"/>
          </w:tcPr>
          <w:p>
            <w:r>
              <w:rPr>
                <w:sz w:val="18"/>
              </w:rPr>
              <w:t>Price instability signals uncertain demand</w:t>
            </w:r>
          </w:p>
        </w:tc>
      </w:tr>
      <w:tr>
        <w:tc>
          <w:tcPr>
            <w:tcW w:type="dxa" w:w="2351"/>
            <w:shd w:fill="D6E4F0" w:val="clear"/>
          </w:tcPr>
          <w:p>
            <w:r>
              <w:rPr>
                <w:sz w:val="18"/>
              </w:rPr>
              <w:t>CCR</w:t>
            </w:r>
          </w:p>
        </w:tc>
        <w:tc>
          <w:tcPr>
            <w:tcW w:type="dxa" w:w="2351"/>
            <w:shd w:fill="D6E4F0" w:val="clear"/>
          </w:tcPr>
          <w:p>
            <w:r>
              <w:rPr>
                <w:sz w:val="18"/>
              </w:rPr>
              <w:t>Customer Churn Rate</w:t>
            </w:r>
          </w:p>
        </w:tc>
        <w:tc>
          <w:tcPr>
            <w:tcW w:type="dxa" w:w="2351"/>
            <w:shd w:fill="D6E4F0" w:val="clear"/>
          </w:tcPr>
          <w:p>
            <w:r>
              <w:rPr>
                <w:sz w:val="18"/>
              </w:rPr>
              <w:t>Churned / Total Customers</w:t>
            </w:r>
          </w:p>
        </w:tc>
        <w:tc>
          <w:tcPr>
            <w:tcW w:type="dxa" w:w="2351"/>
            <w:shd w:fill="D6E4F0" w:val="clear"/>
          </w:tcPr>
          <w:p>
            <w:r>
              <w:rPr>
                <w:sz w:val="18"/>
              </w:rPr>
              <w:t>Customer attrition rate</w:t>
            </w:r>
          </w:p>
        </w:tc>
      </w:tr>
      <w:tr>
        <w:tc>
          <w:tcPr>
            <w:tcW w:type="dxa" w:w="2351"/>
          </w:tcPr>
          <w:p>
            <w:r>
              <w:rPr>
                <w:sz w:val="18"/>
              </w:rPr>
              <w:t>DFE</w:t>
            </w:r>
          </w:p>
        </w:tc>
        <w:tc>
          <w:tcPr>
            <w:tcW w:type="dxa" w:w="2351"/>
          </w:tcPr>
          <w:p>
            <w:r>
              <w:rPr>
                <w:sz w:val="18"/>
              </w:rPr>
              <w:t>Demand Forecast Error</w:t>
            </w:r>
          </w:p>
        </w:tc>
        <w:tc>
          <w:tcPr>
            <w:tcW w:type="dxa" w:w="2351"/>
          </w:tcPr>
          <w:p>
            <w:r>
              <w:rPr>
                <w:sz w:val="18"/>
              </w:rPr>
              <w:t>|Actual − Forecast| / Actual</w:t>
            </w:r>
          </w:p>
        </w:tc>
        <w:tc>
          <w:tcPr>
            <w:tcW w:type="dxa" w:w="2351"/>
          </w:tcPr>
          <w:p>
            <w:r>
              <w:rPr>
                <w:sz w:val="18"/>
              </w:rPr>
              <w:t>Forecasting accuracy</w:t>
            </w:r>
          </w:p>
        </w:tc>
      </w:tr>
    </w:tbl>
    <w:p/>
    <w:p>
      <w:pPr>
        <w:pStyle w:val="Heading3"/>
      </w:pPr>
      <w:r>
        <w:t>Group 2 — Stock Level Factors (→ w₂)</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18"/>
              </w:rPr>
              <w:t>Code</w:t>
            </w:r>
          </w:p>
        </w:tc>
        <w:tc>
          <w:tcPr>
            <w:tcW w:type="dxa" w:w="2351"/>
            <w:shd w:fill="2F5496" w:val="clear"/>
          </w:tcPr>
          <w:p>
            <w:pPr>
              <w:jc w:val="center"/>
            </w:pPr>
            <w:r>
              <w:rPr>
                <w:b/>
                <w:color w:val="FFFFFF"/>
                <w:sz w:val="18"/>
              </w:rPr>
              <w:t>Factor Name</w:t>
            </w:r>
          </w:p>
        </w:tc>
        <w:tc>
          <w:tcPr>
            <w:tcW w:type="dxa" w:w="2351"/>
            <w:shd w:fill="2F5496" w:val="clear"/>
          </w:tcPr>
          <w:p>
            <w:pPr>
              <w:jc w:val="center"/>
            </w:pPr>
            <w:r>
              <w:rPr>
                <w:b/>
                <w:color w:val="FFFFFF"/>
                <w:sz w:val="18"/>
              </w:rPr>
              <w:t>Formula</w:t>
            </w:r>
          </w:p>
        </w:tc>
        <w:tc>
          <w:tcPr>
            <w:tcW w:type="dxa" w:w="2351"/>
            <w:shd w:fill="2F5496" w:val="clear"/>
          </w:tcPr>
          <w:p>
            <w:pPr>
              <w:jc w:val="center"/>
            </w:pPr>
            <w:r>
              <w:rPr>
                <w:b/>
                <w:color w:val="FFFFFF"/>
                <w:sz w:val="18"/>
              </w:rPr>
              <w:t>Business Meaning</w:t>
            </w:r>
          </w:p>
        </w:tc>
      </w:tr>
      <w:tr>
        <w:tc>
          <w:tcPr>
            <w:tcW w:type="dxa" w:w="2351"/>
          </w:tcPr>
          <w:p>
            <w:r>
              <w:rPr>
                <w:sz w:val="18"/>
              </w:rPr>
              <w:t>WU</w:t>
            </w:r>
          </w:p>
        </w:tc>
        <w:tc>
          <w:tcPr>
            <w:tcW w:type="dxa" w:w="2351"/>
          </w:tcPr>
          <w:p>
            <w:r>
              <w:rPr>
                <w:sz w:val="18"/>
              </w:rPr>
              <w:t>Warehouse Utilization</w:t>
            </w:r>
          </w:p>
        </w:tc>
        <w:tc>
          <w:tcPr>
            <w:tcW w:type="dxa" w:w="2351"/>
          </w:tcPr>
          <w:p>
            <w:r>
              <w:rPr>
                <w:sz w:val="18"/>
              </w:rPr>
              <w:t>Used Capacity / Total Capacity</w:t>
            </w:r>
          </w:p>
        </w:tc>
        <w:tc>
          <w:tcPr>
            <w:tcW w:type="dxa" w:w="2351"/>
          </w:tcPr>
          <w:p>
            <w:r>
              <w:rPr>
                <w:sz w:val="18"/>
              </w:rPr>
              <w:t>How full the warehouse is</w:t>
            </w:r>
          </w:p>
        </w:tc>
      </w:tr>
      <w:tr>
        <w:tc>
          <w:tcPr>
            <w:tcW w:type="dxa" w:w="2351"/>
            <w:shd w:fill="D6E4F0" w:val="clear"/>
          </w:tcPr>
          <w:p>
            <w:r>
              <w:rPr>
                <w:sz w:val="18"/>
              </w:rPr>
              <w:t>CFP</w:t>
            </w:r>
          </w:p>
        </w:tc>
        <w:tc>
          <w:tcPr>
            <w:tcW w:type="dxa" w:w="2351"/>
            <w:shd w:fill="D6E4F0" w:val="clear"/>
          </w:tcPr>
          <w:p>
            <w:r>
              <w:rPr>
                <w:sz w:val="18"/>
              </w:rPr>
              <w:t>Cash Flow Pressure</w:t>
            </w:r>
          </w:p>
        </w:tc>
        <w:tc>
          <w:tcPr>
            <w:tcW w:type="dxa" w:w="2351"/>
            <w:shd w:fill="D6E4F0" w:val="clear"/>
          </w:tcPr>
          <w:p>
            <w:r>
              <w:rPr>
                <w:sz w:val="18"/>
              </w:rPr>
              <w:t>1 − min(Assets/Liabilities, 1)</w:t>
            </w:r>
          </w:p>
        </w:tc>
        <w:tc>
          <w:tcPr>
            <w:tcW w:type="dxa" w:w="2351"/>
            <w:shd w:fill="D6E4F0" w:val="clear"/>
          </w:tcPr>
          <w:p>
            <w:r>
              <w:rPr>
                <w:sz w:val="18"/>
              </w:rPr>
              <w:t>Financial liquidity pressure</w:t>
            </w:r>
          </w:p>
        </w:tc>
      </w:tr>
      <w:tr>
        <w:tc>
          <w:tcPr>
            <w:tcW w:type="dxa" w:w="2351"/>
          </w:tcPr>
          <w:p>
            <w:r>
              <w:rPr>
                <w:sz w:val="18"/>
              </w:rPr>
              <w:t>ITR</w:t>
            </w:r>
          </w:p>
        </w:tc>
        <w:tc>
          <w:tcPr>
            <w:tcW w:type="dxa" w:w="2351"/>
          </w:tcPr>
          <w:p>
            <w:r>
              <w:rPr>
                <w:sz w:val="18"/>
              </w:rPr>
              <w:t>Inventory Turnover Ratio</w:t>
            </w:r>
          </w:p>
        </w:tc>
        <w:tc>
          <w:tcPr>
            <w:tcW w:type="dxa" w:w="2351"/>
          </w:tcPr>
          <w:p>
            <w:r>
              <w:rPr>
                <w:sz w:val="18"/>
              </w:rPr>
              <w:t>COGS / Average Inventory</w:t>
            </w:r>
          </w:p>
        </w:tc>
        <w:tc>
          <w:tcPr>
            <w:tcW w:type="dxa" w:w="2351"/>
          </w:tcPr>
          <w:p>
            <w:r>
              <w:rPr>
                <w:sz w:val="18"/>
              </w:rPr>
              <w:t>How fast inventory cycles</w:t>
            </w:r>
          </w:p>
        </w:tc>
      </w:tr>
    </w:tbl>
    <w:p/>
    <w:p>
      <w:pPr>
        <w:pStyle w:val="Heading3"/>
      </w:pPr>
      <w:r>
        <w:t>Group 3 — Lead Time Factors (→ w₃)</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18"/>
              </w:rPr>
              <w:t>Code</w:t>
            </w:r>
          </w:p>
        </w:tc>
        <w:tc>
          <w:tcPr>
            <w:tcW w:type="dxa" w:w="2351"/>
            <w:shd w:fill="2F5496" w:val="clear"/>
          </w:tcPr>
          <w:p>
            <w:pPr>
              <w:jc w:val="center"/>
            </w:pPr>
            <w:r>
              <w:rPr>
                <w:b/>
                <w:color w:val="FFFFFF"/>
                <w:sz w:val="18"/>
              </w:rPr>
              <w:t>Factor Name</w:t>
            </w:r>
          </w:p>
        </w:tc>
        <w:tc>
          <w:tcPr>
            <w:tcW w:type="dxa" w:w="2351"/>
            <w:shd w:fill="2F5496" w:val="clear"/>
          </w:tcPr>
          <w:p>
            <w:pPr>
              <w:jc w:val="center"/>
            </w:pPr>
            <w:r>
              <w:rPr>
                <w:b/>
                <w:color w:val="FFFFFF"/>
                <w:sz w:val="18"/>
              </w:rPr>
              <w:t>Formula</w:t>
            </w:r>
          </w:p>
        </w:tc>
        <w:tc>
          <w:tcPr>
            <w:tcW w:type="dxa" w:w="2351"/>
            <w:shd w:fill="2F5496" w:val="clear"/>
          </w:tcPr>
          <w:p>
            <w:pPr>
              <w:jc w:val="center"/>
            </w:pPr>
            <w:r>
              <w:rPr>
                <w:b/>
                <w:color w:val="FFFFFF"/>
                <w:sz w:val="18"/>
              </w:rPr>
              <w:t>Business Meaning</w:t>
            </w:r>
          </w:p>
        </w:tc>
      </w:tr>
      <w:tr>
        <w:tc>
          <w:tcPr>
            <w:tcW w:type="dxa" w:w="2351"/>
          </w:tcPr>
          <w:p>
            <w:r>
              <w:rPr>
                <w:sz w:val="18"/>
              </w:rPr>
              <w:t>SCDI</w:t>
            </w:r>
          </w:p>
        </w:tc>
        <w:tc>
          <w:tcPr>
            <w:tcW w:type="dxa" w:w="2351"/>
          </w:tcPr>
          <w:p>
            <w:r>
              <w:rPr>
                <w:sz w:val="18"/>
              </w:rPr>
              <w:t>Supply Chain Disruption</w:t>
            </w:r>
          </w:p>
        </w:tc>
        <w:tc>
          <w:tcPr>
            <w:tcW w:type="dxa" w:w="2351"/>
          </w:tcPr>
          <w:p>
            <w:r>
              <w:rPr>
                <w:sz w:val="18"/>
              </w:rPr>
              <w:t>1 − (LPI Score / 5)</w:t>
            </w:r>
          </w:p>
        </w:tc>
        <w:tc>
          <w:tcPr>
            <w:tcW w:type="dxa" w:w="2351"/>
          </w:tcPr>
          <w:p>
            <w:r>
              <w:rPr>
                <w:sz w:val="18"/>
              </w:rPr>
              <w:t>Logistics disruption risk</w:t>
            </w:r>
          </w:p>
        </w:tc>
      </w:tr>
      <w:tr>
        <w:tc>
          <w:tcPr>
            <w:tcW w:type="dxa" w:w="2351"/>
            <w:shd w:fill="D6E4F0" w:val="clear"/>
          </w:tcPr>
          <w:p>
            <w:r>
              <w:rPr>
                <w:sz w:val="18"/>
              </w:rPr>
              <w:t>IDR</w:t>
            </w:r>
          </w:p>
        </w:tc>
        <w:tc>
          <w:tcPr>
            <w:tcW w:type="dxa" w:w="2351"/>
            <w:shd w:fill="D6E4F0" w:val="clear"/>
          </w:tcPr>
          <w:p>
            <w:r>
              <w:rPr>
                <w:sz w:val="18"/>
              </w:rPr>
              <w:t>Import Dependency Ratio</w:t>
            </w:r>
          </w:p>
        </w:tc>
        <w:tc>
          <w:tcPr>
            <w:tcW w:type="dxa" w:w="2351"/>
            <w:shd w:fill="D6E4F0" w:val="clear"/>
          </w:tcPr>
          <w:p>
            <w:r>
              <w:rPr>
                <w:sz w:val="18"/>
              </w:rPr>
              <w:t>Imported / Total Units</w:t>
            </w:r>
          </w:p>
        </w:tc>
        <w:tc>
          <w:tcPr>
            <w:tcW w:type="dxa" w:w="2351"/>
            <w:shd w:fill="D6E4F0" w:val="clear"/>
          </w:tcPr>
          <w:p>
            <w:r>
              <w:rPr>
                <w:sz w:val="18"/>
              </w:rPr>
              <w:t>Reliance on imports</w:t>
            </w:r>
          </w:p>
        </w:tc>
      </w:tr>
      <w:tr>
        <w:tc>
          <w:tcPr>
            <w:tcW w:type="dxa" w:w="2351"/>
          </w:tcPr>
          <w:p>
            <w:r>
              <w:rPr>
                <w:sz w:val="18"/>
              </w:rPr>
              <w:t>GRI</w:t>
            </w:r>
          </w:p>
        </w:tc>
        <w:tc>
          <w:tcPr>
            <w:tcW w:type="dxa" w:w="2351"/>
          </w:tcPr>
          <w:p>
            <w:r>
              <w:rPr>
                <w:sz w:val="18"/>
              </w:rPr>
              <w:t>Geopolitical Risk Index</w:t>
            </w:r>
          </w:p>
        </w:tc>
        <w:tc>
          <w:tcPr>
            <w:tcW w:type="dxa" w:w="2351"/>
          </w:tcPr>
          <w:p>
            <w:r>
              <w:rPr>
                <w:sz w:val="18"/>
              </w:rPr>
              <w:t>min(GPR Index / 200, 1)</w:t>
            </w:r>
          </w:p>
        </w:tc>
        <w:tc>
          <w:tcPr>
            <w:tcW w:type="dxa" w:w="2351"/>
          </w:tcPr>
          <w:p>
            <w:r>
              <w:rPr>
                <w:sz w:val="18"/>
              </w:rPr>
              <w:t>Political risk to supply chain</w:t>
            </w:r>
          </w:p>
        </w:tc>
      </w:tr>
    </w:tbl>
    <w:p/>
    <w:p>
      <w:pPr>
        <w:pStyle w:val="Heading3"/>
      </w:pPr>
      <w:r>
        <w:t>Group 4 — Profit Margin Factors (→ w₄)</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18"/>
              </w:rPr>
              <w:t>Code</w:t>
            </w:r>
          </w:p>
        </w:tc>
        <w:tc>
          <w:tcPr>
            <w:tcW w:type="dxa" w:w="2351"/>
            <w:shd w:fill="2F5496" w:val="clear"/>
          </w:tcPr>
          <w:p>
            <w:pPr>
              <w:jc w:val="center"/>
            </w:pPr>
            <w:r>
              <w:rPr>
                <w:b/>
                <w:color w:val="FFFFFF"/>
                <w:sz w:val="18"/>
              </w:rPr>
              <w:t>Factor Name</w:t>
            </w:r>
          </w:p>
        </w:tc>
        <w:tc>
          <w:tcPr>
            <w:tcW w:type="dxa" w:w="2351"/>
            <w:shd w:fill="2F5496" w:val="clear"/>
          </w:tcPr>
          <w:p>
            <w:pPr>
              <w:jc w:val="center"/>
            </w:pPr>
            <w:r>
              <w:rPr>
                <w:b/>
                <w:color w:val="FFFFFF"/>
                <w:sz w:val="18"/>
              </w:rPr>
              <w:t>Formula</w:t>
            </w:r>
          </w:p>
        </w:tc>
        <w:tc>
          <w:tcPr>
            <w:tcW w:type="dxa" w:w="2351"/>
            <w:shd w:fill="2F5496" w:val="clear"/>
          </w:tcPr>
          <w:p>
            <w:pPr>
              <w:jc w:val="center"/>
            </w:pPr>
            <w:r>
              <w:rPr>
                <w:b/>
                <w:color w:val="FFFFFF"/>
                <w:sz w:val="18"/>
              </w:rPr>
              <w:t>Business Meaning</w:t>
            </w:r>
          </w:p>
        </w:tc>
      </w:tr>
      <w:tr>
        <w:tc>
          <w:tcPr>
            <w:tcW w:type="dxa" w:w="2351"/>
          </w:tcPr>
          <w:p>
            <w:r>
              <w:rPr>
                <w:sz w:val="18"/>
              </w:rPr>
              <w:t>CPP</w:t>
            </w:r>
          </w:p>
        </w:tc>
        <w:tc>
          <w:tcPr>
            <w:tcW w:type="dxa" w:w="2351"/>
          </w:tcPr>
          <w:p>
            <w:r>
              <w:rPr>
                <w:sz w:val="18"/>
              </w:rPr>
              <w:t>Competitive Price Pressure</w:t>
            </w:r>
          </w:p>
        </w:tc>
        <w:tc>
          <w:tcPr>
            <w:tcW w:type="dxa" w:w="2351"/>
          </w:tcPr>
          <w:p>
            <w:r>
              <w:rPr>
                <w:sz w:val="18"/>
              </w:rPr>
              <w:t>max(0, (Competitor−Ours)/Ours)</w:t>
            </w:r>
          </w:p>
        </w:tc>
        <w:tc>
          <w:tcPr>
            <w:tcW w:type="dxa" w:w="2351"/>
          </w:tcPr>
          <w:p>
            <w:r>
              <w:rPr>
                <w:sz w:val="18"/>
              </w:rPr>
              <w:t>Pricing competitiveness</w:t>
            </w:r>
          </w:p>
        </w:tc>
      </w:tr>
      <w:tr>
        <w:tc>
          <w:tcPr>
            <w:tcW w:type="dxa" w:w="2351"/>
            <w:shd w:fill="D6E4F0" w:val="clear"/>
          </w:tcPr>
          <w:p>
            <w:r>
              <w:rPr>
                <w:sz w:val="18"/>
              </w:rPr>
              <w:t>PED</w:t>
            </w:r>
          </w:p>
        </w:tc>
        <w:tc>
          <w:tcPr>
            <w:tcW w:type="dxa" w:w="2351"/>
            <w:shd w:fill="D6E4F0" w:val="clear"/>
          </w:tcPr>
          <w:p>
            <w:r>
              <w:rPr>
                <w:sz w:val="18"/>
              </w:rPr>
              <w:t>Price Elasticity of Demand</w:t>
            </w:r>
          </w:p>
        </w:tc>
        <w:tc>
          <w:tcPr>
            <w:tcW w:type="dxa" w:w="2351"/>
            <w:shd w:fill="D6E4F0" w:val="clear"/>
          </w:tcPr>
          <w:p>
            <w:r>
              <w:rPr>
                <w:sz w:val="18"/>
              </w:rPr>
              <w:t>|%ΔDemand / %ΔPrice|</w:t>
            </w:r>
          </w:p>
        </w:tc>
        <w:tc>
          <w:tcPr>
            <w:tcW w:type="dxa" w:w="2351"/>
            <w:shd w:fill="D6E4F0" w:val="clear"/>
          </w:tcPr>
          <w:p>
            <w:r>
              <w:rPr>
                <w:sz w:val="18"/>
              </w:rPr>
              <w:t>Price sensitivity of demand</w:t>
            </w:r>
          </w:p>
        </w:tc>
      </w:tr>
      <w:tr>
        <w:tc>
          <w:tcPr>
            <w:tcW w:type="dxa" w:w="2351"/>
          </w:tcPr>
          <w:p>
            <w:r>
              <w:rPr>
                <w:sz w:val="18"/>
              </w:rPr>
              <w:t>IBG</w:t>
            </w:r>
          </w:p>
        </w:tc>
        <w:tc>
          <w:tcPr>
            <w:tcW w:type="dxa" w:w="2351"/>
          </w:tcPr>
          <w:p>
            <w:r>
              <w:rPr>
                <w:sz w:val="18"/>
              </w:rPr>
              <w:t>Industry Benchmark Gap</w:t>
            </w:r>
          </w:p>
        </w:tc>
        <w:tc>
          <w:tcPr>
            <w:tcW w:type="dxa" w:w="2351"/>
          </w:tcPr>
          <w:p>
            <w:r>
              <w:rPr>
                <w:sz w:val="18"/>
              </w:rPr>
              <w:t>max(0, (Industry−Ours)/Industry)</w:t>
            </w:r>
          </w:p>
        </w:tc>
        <w:tc>
          <w:tcPr>
            <w:tcW w:type="dxa" w:w="2351"/>
          </w:tcPr>
          <w:p>
            <w:r>
              <w:rPr>
                <w:sz w:val="18"/>
              </w:rPr>
              <w:t>Margin gap vs industry</w:t>
            </w:r>
          </w:p>
        </w:tc>
      </w:tr>
    </w:tbl>
    <w:p/>
    <w:p>
      <w:pPr>
        <w:pStyle w:val="Heading3"/>
      </w:pPr>
      <w:r>
        <w:t>Group 5 — Stockout Cost Factors (→ w₅)</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18"/>
              </w:rPr>
              <w:t>Code</w:t>
            </w:r>
          </w:p>
        </w:tc>
        <w:tc>
          <w:tcPr>
            <w:tcW w:type="dxa" w:w="2351"/>
            <w:shd w:fill="2F5496" w:val="clear"/>
          </w:tcPr>
          <w:p>
            <w:pPr>
              <w:jc w:val="center"/>
            </w:pPr>
            <w:r>
              <w:rPr>
                <w:b/>
                <w:color w:val="FFFFFF"/>
                <w:sz w:val="18"/>
              </w:rPr>
              <w:t>Factor Name</w:t>
            </w:r>
          </w:p>
        </w:tc>
        <w:tc>
          <w:tcPr>
            <w:tcW w:type="dxa" w:w="2351"/>
            <w:shd w:fill="2F5496" w:val="clear"/>
          </w:tcPr>
          <w:p>
            <w:pPr>
              <w:jc w:val="center"/>
            </w:pPr>
            <w:r>
              <w:rPr>
                <w:b/>
                <w:color w:val="FFFFFF"/>
                <w:sz w:val="18"/>
              </w:rPr>
              <w:t>Formula</w:t>
            </w:r>
          </w:p>
        </w:tc>
        <w:tc>
          <w:tcPr>
            <w:tcW w:type="dxa" w:w="2351"/>
            <w:shd w:fill="2F5496" w:val="clear"/>
          </w:tcPr>
          <w:p>
            <w:pPr>
              <w:jc w:val="center"/>
            </w:pPr>
            <w:r>
              <w:rPr>
                <w:b/>
                <w:color w:val="FFFFFF"/>
                <w:sz w:val="18"/>
              </w:rPr>
              <w:t>Business Meaning</w:t>
            </w:r>
          </w:p>
        </w:tc>
      </w:tr>
      <w:tr>
        <w:tc>
          <w:tcPr>
            <w:tcW w:type="dxa" w:w="2351"/>
          </w:tcPr>
          <w:p>
            <w:r>
              <w:rPr>
                <w:sz w:val="18"/>
              </w:rPr>
              <w:t>MCI</w:t>
            </w:r>
          </w:p>
        </w:tc>
        <w:tc>
          <w:tcPr>
            <w:tcW w:type="dxa" w:w="2351"/>
          </w:tcPr>
          <w:p>
            <w:r>
              <w:rPr>
                <w:sz w:val="18"/>
              </w:rPr>
              <w:t>Market Competition Index</w:t>
            </w:r>
          </w:p>
        </w:tc>
        <w:tc>
          <w:tcPr>
            <w:tcW w:type="dxa" w:w="2351"/>
          </w:tcPr>
          <w:p>
            <w:r>
              <w:rPr>
                <w:sz w:val="18"/>
              </w:rPr>
              <w:t>1 − (HHI / 10000)</w:t>
            </w:r>
          </w:p>
        </w:tc>
        <w:tc>
          <w:tcPr>
            <w:tcW w:type="dxa" w:w="2351"/>
          </w:tcPr>
          <w:p>
            <w:r>
              <w:rPr>
                <w:sz w:val="18"/>
              </w:rPr>
              <w:t>Competitive intensity</w:t>
            </w:r>
          </w:p>
        </w:tc>
      </w:tr>
      <w:tr>
        <w:tc>
          <w:tcPr>
            <w:tcW w:type="dxa" w:w="2351"/>
            <w:shd w:fill="D6E4F0" w:val="clear"/>
          </w:tcPr>
          <w:p>
            <w:r>
              <w:rPr>
                <w:sz w:val="18"/>
              </w:rPr>
              <w:t>CSC</w:t>
            </w:r>
          </w:p>
        </w:tc>
        <w:tc>
          <w:tcPr>
            <w:tcW w:type="dxa" w:w="2351"/>
            <w:shd w:fill="D6E4F0" w:val="clear"/>
          </w:tcPr>
          <w:p>
            <w:r>
              <w:rPr>
                <w:sz w:val="18"/>
              </w:rPr>
              <w:t>Customer Switching Cost</w:t>
            </w:r>
          </w:p>
        </w:tc>
        <w:tc>
          <w:tcPr>
            <w:tcW w:type="dxa" w:w="2351"/>
            <w:shd w:fill="D6E4F0" w:val="clear"/>
          </w:tcPr>
          <w:p>
            <w:r>
              <w:rPr>
                <w:sz w:val="18"/>
              </w:rPr>
              <w:t>1 − Switching Ease Rate</w:t>
            </w:r>
          </w:p>
        </w:tc>
        <w:tc>
          <w:tcPr>
            <w:tcW w:type="dxa" w:w="2351"/>
            <w:shd w:fill="D6E4F0" w:val="clear"/>
          </w:tcPr>
          <w:p>
            <w:r>
              <w:rPr>
                <w:sz w:val="18"/>
              </w:rPr>
              <w:t>Cost for customers to switch</w:t>
            </w:r>
          </w:p>
        </w:tc>
      </w:tr>
      <w:tr>
        <w:tc>
          <w:tcPr>
            <w:tcW w:type="dxa" w:w="2351"/>
          </w:tcPr>
          <w:p>
            <w:r>
              <w:rPr>
                <w:sz w:val="18"/>
              </w:rPr>
              <w:t>BLI</w:t>
            </w:r>
          </w:p>
        </w:tc>
        <w:tc>
          <w:tcPr>
            <w:tcW w:type="dxa" w:w="2351"/>
          </w:tcPr>
          <w:p>
            <w:r>
              <w:rPr>
                <w:sz w:val="18"/>
              </w:rPr>
              <w:t>Brand Loyalty Index</w:t>
            </w:r>
          </w:p>
        </w:tc>
        <w:tc>
          <w:tcPr>
            <w:tcW w:type="dxa" w:w="2351"/>
          </w:tcPr>
          <w:p>
            <w:r>
              <w:rPr>
                <w:sz w:val="18"/>
              </w:rPr>
              <w:t>((NPS+100)/200 + Repeat Rate) / 2</w:t>
            </w:r>
          </w:p>
        </w:tc>
        <w:tc>
          <w:tcPr>
            <w:tcW w:type="dxa" w:w="2351"/>
          </w:tcPr>
          <w:p>
            <w:r>
              <w:rPr>
                <w:sz w:val="18"/>
              </w:rPr>
              <w:t>Customer loyalty strength</w:t>
            </w:r>
          </w:p>
        </w:tc>
      </w:tr>
    </w:tbl>
    <w:p/>
    <w:p>
      <w:pPr>
        <w:pStyle w:val="Heading3"/>
      </w:pPr>
      <w:r>
        <w:t>Group 6 — Holding Cost Factors (→ w₆)</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18"/>
              </w:rPr>
              <w:t>Code</w:t>
            </w:r>
          </w:p>
        </w:tc>
        <w:tc>
          <w:tcPr>
            <w:tcW w:type="dxa" w:w="2351"/>
            <w:shd w:fill="2F5496" w:val="clear"/>
          </w:tcPr>
          <w:p>
            <w:pPr>
              <w:jc w:val="center"/>
            </w:pPr>
            <w:r>
              <w:rPr>
                <w:b/>
                <w:color w:val="FFFFFF"/>
                <w:sz w:val="18"/>
              </w:rPr>
              <w:t>Factor Name</w:t>
            </w:r>
          </w:p>
        </w:tc>
        <w:tc>
          <w:tcPr>
            <w:tcW w:type="dxa" w:w="2351"/>
            <w:shd w:fill="2F5496" w:val="clear"/>
          </w:tcPr>
          <w:p>
            <w:pPr>
              <w:jc w:val="center"/>
            </w:pPr>
            <w:r>
              <w:rPr>
                <w:b/>
                <w:color w:val="FFFFFF"/>
                <w:sz w:val="18"/>
              </w:rPr>
              <w:t>Formula</w:t>
            </w:r>
          </w:p>
        </w:tc>
        <w:tc>
          <w:tcPr>
            <w:tcW w:type="dxa" w:w="2351"/>
            <w:shd w:fill="2F5496" w:val="clear"/>
          </w:tcPr>
          <w:p>
            <w:pPr>
              <w:jc w:val="center"/>
            </w:pPr>
            <w:r>
              <w:rPr>
                <w:b/>
                <w:color w:val="FFFFFF"/>
                <w:sz w:val="18"/>
              </w:rPr>
              <w:t>Business Meaning</w:t>
            </w:r>
          </w:p>
        </w:tc>
      </w:tr>
      <w:tr>
        <w:tc>
          <w:tcPr>
            <w:tcW w:type="dxa" w:w="2351"/>
          </w:tcPr>
          <w:p>
            <w:r>
              <w:rPr>
                <w:sz w:val="18"/>
              </w:rPr>
              <w:t>IR</w:t>
            </w:r>
          </w:p>
        </w:tc>
        <w:tc>
          <w:tcPr>
            <w:tcW w:type="dxa" w:w="2351"/>
          </w:tcPr>
          <w:p>
            <w:r>
              <w:rPr>
                <w:sz w:val="18"/>
              </w:rPr>
              <w:t>Interest Rate Factor</w:t>
            </w:r>
          </w:p>
        </w:tc>
        <w:tc>
          <w:tcPr>
            <w:tcW w:type="dxa" w:w="2351"/>
          </w:tcPr>
          <w:p>
            <w:r>
              <w:rPr>
                <w:sz w:val="18"/>
              </w:rPr>
              <w:t>min(Central Rate / 0.20, 1)</w:t>
            </w:r>
          </w:p>
        </w:tc>
        <w:tc>
          <w:tcPr>
            <w:tcW w:type="dxa" w:w="2351"/>
          </w:tcPr>
          <w:p>
            <w:r>
              <w:rPr>
                <w:sz w:val="18"/>
              </w:rPr>
              <w:t>Cost of capital</w:t>
            </w:r>
          </w:p>
        </w:tc>
      </w:tr>
      <w:tr>
        <w:tc>
          <w:tcPr>
            <w:tcW w:type="dxa" w:w="2351"/>
            <w:shd w:fill="D6E4F0" w:val="clear"/>
          </w:tcPr>
          <w:p>
            <w:r>
              <w:rPr>
                <w:sz w:val="18"/>
              </w:rPr>
              <w:t>SCI</w:t>
            </w:r>
          </w:p>
        </w:tc>
        <w:tc>
          <w:tcPr>
            <w:tcW w:type="dxa" w:w="2351"/>
            <w:shd w:fill="D6E4F0" w:val="clear"/>
          </w:tcPr>
          <w:p>
            <w:r>
              <w:rPr>
                <w:sz w:val="18"/>
              </w:rPr>
              <w:t>Storage Cost Index</w:t>
            </w:r>
          </w:p>
        </w:tc>
        <w:tc>
          <w:tcPr>
            <w:tcW w:type="dxa" w:w="2351"/>
            <w:shd w:fill="D6E4F0" w:val="clear"/>
          </w:tcPr>
          <w:p>
            <w:r>
              <w:rPr>
                <w:sz w:val="18"/>
              </w:rPr>
              <w:t>min(Current / Benchmark, 1)</w:t>
            </w:r>
          </w:p>
        </w:tc>
        <w:tc>
          <w:tcPr>
            <w:tcW w:type="dxa" w:w="2351"/>
            <w:shd w:fill="D6E4F0" w:val="clear"/>
          </w:tcPr>
          <w:p>
            <w:r>
              <w:rPr>
                <w:sz w:val="18"/>
              </w:rPr>
              <w:t>Relative storage cost</w:t>
            </w:r>
          </w:p>
        </w:tc>
      </w:tr>
      <w:tr>
        <w:tc>
          <w:tcPr>
            <w:tcW w:type="dxa" w:w="2351"/>
          </w:tcPr>
          <w:p>
            <w:r>
              <w:rPr>
                <w:sz w:val="18"/>
              </w:rPr>
              <w:t>PPR</w:t>
            </w:r>
          </w:p>
        </w:tc>
        <w:tc>
          <w:tcPr>
            <w:tcW w:type="dxa" w:w="2351"/>
          </w:tcPr>
          <w:p>
            <w:r>
              <w:rPr>
                <w:sz w:val="18"/>
              </w:rPr>
              <w:t>Product Perishability Rate</w:t>
            </w:r>
          </w:p>
        </w:tc>
        <w:tc>
          <w:tcPr>
            <w:tcW w:type="dxa" w:w="2351"/>
          </w:tcPr>
          <w:p>
            <w:r>
              <w:rPr>
                <w:sz w:val="18"/>
              </w:rPr>
              <w:t>Expired / Total Held</w:t>
            </w:r>
          </w:p>
        </w:tc>
        <w:tc>
          <w:tcPr>
            <w:tcW w:type="dxa" w:w="2351"/>
          </w:tcPr>
          <w:p>
            <w:r>
              <w:rPr>
                <w:sz w:val="18"/>
              </w:rPr>
              <w:t>Spoilage/obsolescence rate</w:t>
            </w:r>
          </w:p>
        </w:tc>
      </w:tr>
    </w:tbl>
    <w:p/>
    <w:p>
      <w:pPr>
        <w:pStyle w:val="Heading3"/>
      </w:pPr>
      <w:r>
        <w:t>Group 7 — Supplier Factors (→ w₇)</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18"/>
              </w:rPr>
              <w:t>Code</w:t>
            </w:r>
          </w:p>
        </w:tc>
        <w:tc>
          <w:tcPr>
            <w:tcW w:type="dxa" w:w="2351"/>
            <w:shd w:fill="2F5496" w:val="clear"/>
          </w:tcPr>
          <w:p>
            <w:pPr>
              <w:jc w:val="center"/>
            </w:pPr>
            <w:r>
              <w:rPr>
                <w:b/>
                <w:color w:val="FFFFFF"/>
                <w:sz w:val="18"/>
              </w:rPr>
              <w:t>Factor Name</w:t>
            </w:r>
          </w:p>
        </w:tc>
        <w:tc>
          <w:tcPr>
            <w:tcW w:type="dxa" w:w="2351"/>
            <w:shd w:fill="2F5496" w:val="clear"/>
          </w:tcPr>
          <w:p>
            <w:pPr>
              <w:jc w:val="center"/>
            </w:pPr>
            <w:r>
              <w:rPr>
                <w:b/>
                <w:color w:val="FFFFFF"/>
                <w:sz w:val="18"/>
              </w:rPr>
              <w:t>Formula</w:t>
            </w:r>
          </w:p>
        </w:tc>
        <w:tc>
          <w:tcPr>
            <w:tcW w:type="dxa" w:w="2351"/>
            <w:shd w:fill="2F5496" w:val="clear"/>
          </w:tcPr>
          <w:p>
            <w:pPr>
              <w:jc w:val="center"/>
            </w:pPr>
            <w:r>
              <w:rPr>
                <w:b/>
                <w:color w:val="FFFFFF"/>
                <w:sz w:val="18"/>
              </w:rPr>
              <w:t>Business Meaning</w:t>
            </w:r>
          </w:p>
        </w:tc>
      </w:tr>
      <w:tr>
        <w:tc>
          <w:tcPr>
            <w:tcW w:type="dxa" w:w="2351"/>
          </w:tcPr>
          <w:p>
            <w:r>
              <w:rPr>
                <w:sz w:val="18"/>
              </w:rPr>
              <w:t>SCR</w:t>
            </w:r>
          </w:p>
        </w:tc>
        <w:tc>
          <w:tcPr>
            <w:tcW w:type="dxa" w:w="2351"/>
          </w:tcPr>
          <w:p>
            <w:r>
              <w:rPr>
                <w:sz w:val="18"/>
              </w:rPr>
              <w:t>Supplier Concentration</w:t>
            </w:r>
          </w:p>
        </w:tc>
        <w:tc>
          <w:tcPr>
            <w:tcW w:type="dxa" w:w="2351"/>
          </w:tcPr>
          <w:p>
            <w:r>
              <w:rPr>
                <w:sz w:val="18"/>
              </w:rPr>
              <w:t>Top Supplier / Total Units</w:t>
            </w:r>
          </w:p>
        </w:tc>
        <w:tc>
          <w:tcPr>
            <w:tcW w:type="dxa" w:w="2351"/>
          </w:tcPr>
          <w:p>
            <w:r>
              <w:rPr>
                <w:sz w:val="18"/>
              </w:rPr>
              <w:t>Single-supplier dependency</w:t>
            </w:r>
          </w:p>
        </w:tc>
      </w:tr>
      <w:tr>
        <w:tc>
          <w:tcPr>
            <w:tcW w:type="dxa" w:w="2351"/>
            <w:shd w:fill="D6E4F0" w:val="clear"/>
          </w:tcPr>
          <w:p>
            <w:r>
              <w:rPr>
                <w:sz w:val="18"/>
              </w:rPr>
              <w:t>GSCV</w:t>
            </w:r>
          </w:p>
        </w:tc>
        <w:tc>
          <w:tcPr>
            <w:tcW w:type="dxa" w:w="2351"/>
            <w:shd w:fill="D6E4F0" w:val="clear"/>
          </w:tcPr>
          <w:p>
            <w:r>
              <w:rPr>
                <w:sz w:val="18"/>
              </w:rPr>
              <w:t>Global Supply Volatility</w:t>
            </w:r>
          </w:p>
        </w:tc>
        <w:tc>
          <w:tcPr>
            <w:tcW w:type="dxa" w:w="2351"/>
            <w:shd w:fill="D6E4F0" w:val="clear"/>
          </w:tcPr>
          <w:p>
            <w:r>
              <w:rPr>
                <w:sz w:val="18"/>
              </w:rPr>
              <w:t>1 − (LPI / 5)</w:t>
            </w:r>
          </w:p>
        </w:tc>
        <w:tc>
          <w:tcPr>
            <w:tcW w:type="dxa" w:w="2351"/>
            <w:shd w:fill="D6E4F0" w:val="clear"/>
          </w:tcPr>
          <w:p>
            <w:r>
              <w:rPr>
                <w:sz w:val="18"/>
              </w:rPr>
              <w:t>Global logistics stability</w:t>
            </w:r>
          </w:p>
        </w:tc>
      </w:tr>
      <w:tr>
        <w:tc>
          <w:tcPr>
            <w:tcW w:type="dxa" w:w="2351"/>
          </w:tcPr>
          <w:p>
            <w:r>
              <w:rPr>
                <w:sz w:val="18"/>
              </w:rPr>
              <w:t>SFH</w:t>
            </w:r>
          </w:p>
        </w:tc>
        <w:tc>
          <w:tcPr>
            <w:tcW w:type="dxa" w:w="2351"/>
          </w:tcPr>
          <w:p>
            <w:r>
              <w:rPr>
                <w:sz w:val="18"/>
              </w:rPr>
              <w:t>Supplier Financial Health</w:t>
            </w:r>
          </w:p>
        </w:tc>
        <w:tc>
          <w:tcPr>
            <w:tcW w:type="dxa" w:w="2351"/>
          </w:tcPr>
          <w:p>
            <w:r>
              <w:rPr>
                <w:sz w:val="18"/>
              </w:rPr>
              <w:t>min(Credit Score / 850, 1)</w:t>
            </w:r>
          </w:p>
        </w:tc>
        <w:tc>
          <w:tcPr>
            <w:tcW w:type="dxa" w:w="2351"/>
          </w:tcPr>
          <w:p>
            <w:r>
              <w:rPr>
                <w:sz w:val="18"/>
              </w:rPr>
              <w:t>Supplier creditworthiness</w:t>
            </w:r>
          </w:p>
        </w:tc>
      </w:tr>
    </w:tbl>
    <w:p/>
    <w:p>
      <w:pPr>
        <w:pStyle w:val="Heading3"/>
      </w:pPr>
      <w:r>
        <w:t>Group 8 — Seasonality Factors (→ w₈)</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18"/>
              </w:rPr>
              <w:t>Code</w:t>
            </w:r>
          </w:p>
        </w:tc>
        <w:tc>
          <w:tcPr>
            <w:tcW w:type="dxa" w:w="2351"/>
            <w:shd w:fill="2F5496" w:val="clear"/>
          </w:tcPr>
          <w:p>
            <w:pPr>
              <w:jc w:val="center"/>
            </w:pPr>
            <w:r>
              <w:rPr>
                <w:b/>
                <w:color w:val="FFFFFF"/>
                <w:sz w:val="18"/>
              </w:rPr>
              <w:t>Factor Name</w:t>
            </w:r>
          </w:p>
        </w:tc>
        <w:tc>
          <w:tcPr>
            <w:tcW w:type="dxa" w:w="2351"/>
            <w:shd w:fill="2F5496" w:val="clear"/>
          </w:tcPr>
          <w:p>
            <w:pPr>
              <w:jc w:val="center"/>
            </w:pPr>
            <w:r>
              <w:rPr>
                <w:b/>
                <w:color w:val="FFFFFF"/>
                <w:sz w:val="18"/>
              </w:rPr>
              <w:t>Formula</w:t>
            </w:r>
          </w:p>
        </w:tc>
        <w:tc>
          <w:tcPr>
            <w:tcW w:type="dxa" w:w="2351"/>
            <w:shd w:fill="2F5496" w:val="clear"/>
          </w:tcPr>
          <w:p>
            <w:pPr>
              <w:jc w:val="center"/>
            </w:pPr>
            <w:r>
              <w:rPr>
                <w:b/>
                <w:color w:val="FFFFFF"/>
                <w:sz w:val="18"/>
              </w:rPr>
              <w:t>Business Meaning</w:t>
            </w:r>
          </w:p>
        </w:tc>
      </w:tr>
      <w:tr>
        <w:tc>
          <w:tcPr>
            <w:tcW w:type="dxa" w:w="2351"/>
          </w:tcPr>
          <w:p>
            <w:r>
              <w:rPr>
                <w:sz w:val="18"/>
              </w:rPr>
              <w:t>SDCV</w:t>
            </w:r>
          </w:p>
        </w:tc>
        <w:tc>
          <w:tcPr>
            <w:tcW w:type="dxa" w:w="2351"/>
          </w:tcPr>
          <w:p>
            <w:r>
              <w:rPr>
                <w:sz w:val="18"/>
              </w:rPr>
              <w:t>Seasonal Demand CV</w:t>
            </w:r>
          </w:p>
        </w:tc>
        <w:tc>
          <w:tcPr>
            <w:tcW w:type="dxa" w:w="2351"/>
          </w:tcPr>
          <w:p>
            <w:r>
              <w:rPr>
                <w:sz w:val="18"/>
              </w:rPr>
              <w:t>std(demand) / mean(demand)</w:t>
            </w:r>
          </w:p>
        </w:tc>
        <w:tc>
          <w:tcPr>
            <w:tcW w:type="dxa" w:w="2351"/>
          </w:tcPr>
          <w:p>
            <w:r>
              <w:rPr>
                <w:sz w:val="18"/>
              </w:rPr>
              <w:t>Demand variability across seasons</w:t>
            </w:r>
          </w:p>
        </w:tc>
      </w:tr>
      <w:tr>
        <w:tc>
          <w:tcPr>
            <w:tcW w:type="dxa" w:w="2351"/>
            <w:shd w:fill="D6E4F0" w:val="clear"/>
          </w:tcPr>
          <w:p>
            <w:r>
              <w:rPr>
                <w:sz w:val="18"/>
              </w:rPr>
              <w:t>ISI</w:t>
            </w:r>
          </w:p>
        </w:tc>
        <w:tc>
          <w:tcPr>
            <w:tcW w:type="dxa" w:w="2351"/>
            <w:shd w:fill="D6E4F0" w:val="clear"/>
          </w:tcPr>
          <w:p>
            <w:r>
              <w:rPr>
                <w:sz w:val="18"/>
              </w:rPr>
              <w:t>Industry Seasonality Index</w:t>
            </w:r>
          </w:p>
        </w:tc>
        <w:tc>
          <w:tcPr>
            <w:tcW w:type="dxa" w:w="2351"/>
            <w:shd w:fill="D6E4F0" w:val="clear"/>
          </w:tcPr>
          <w:p>
            <w:r>
              <w:rPr>
                <w:sz w:val="18"/>
              </w:rPr>
              <w:t>min(Swing% / 100, 1)</w:t>
            </w:r>
          </w:p>
        </w:tc>
        <w:tc>
          <w:tcPr>
            <w:tcW w:type="dxa" w:w="2351"/>
            <w:shd w:fill="D6E4F0" w:val="clear"/>
          </w:tcPr>
          <w:p>
            <w:r>
              <w:rPr>
                <w:sz w:val="18"/>
              </w:rPr>
              <w:t>Industry-wide seasonal effect</w:t>
            </w:r>
          </w:p>
        </w:tc>
      </w:tr>
      <w:tr>
        <w:tc>
          <w:tcPr>
            <w:tcW w:type="dxa" w:w="2351"/>
          </w:tcPr>
          <w:p>
            <w:r>
              <w:rPr>
                <w:sz w:val="18"/>
              </w:rPr>
              <w:t>CEI</w:t>
            </w:r>
          </w:p>
        </w:tc>
        <w:tc>
          <w:tcPr>
            <w:tcW w:type="dxa" w:w="2351"/>
          </w:tcPr>
          <w:p>
            <w:r>
              <w:rPr>
                <w:sz w:val="18"/>
              </w:rPr>
              <w:t>Climate Event Impact</w:t>
            </w:r>
          </w:p>
        </w:tc>
        <w:tc>
          <w:tcPr>
            <w:tcW w:type="dxa" w:w="2351"/>
          </w:tcPr>
          <w:p>
            <w:r>
              <w:rPr>
                <w:sz w:val="18"/>
              </w:rPr>
              <w:t>Event-Driven Revenue %</w:t>
            </w:r>
          </w:p>
        </w:tc>
        <w:tc>
          <w:tcPr>
            <w:tcW w:type="dxa" w:w="2351"/>
          </w:tcPr>
          <w:p>
            <w:r>
              <w:rPr>
                <w:sz w:val="18"/>
              </w:rPr>
              <w:t>Weather/climate impact on demand</w:t>
            </w:r>
          </w:p>
        </w:tc>
      </w:tr>
    </w:tbl>
    <w:p/>
    <w:p>
      <w:r>
        <w:br w:type="page"/>
      </w:r>
    </w:p>
    <w:p>
      <w:pPr>
        <w:pStyle w:val="Heading1"/>
      </w:pPr>
      <w:r>
        <w:t>6. Dynamic Weight Computation</w:t>
      </w:r>
    </w:p>
    <w:p>
      <w:r>
        <w:t>The 24 external factors are combined into 8 raw weights using the following formulas. Each formula groups 3 related factors to determine the importance of the corresponding primary variable.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496" w:val="clear"/>
          </w:tcPr>
          <w:p>
            <w:pPr>
              <w:jc w:val="center"/>
            </w:pPr>
            <w:r>
              <w:rPr>
                <w:b/>
                <w:color w:val="FFFFFF"/>
                <w:sz w:val="18"/>
              </w:rPr>
              <w:t>Weight</w:t>
            </w:r>
          </w:p>
        </w:tc>
        <w:tc>
          <w:tcPr>
            <w:tcW w:type="dxa" w:w="3135"/>
            <w:shd w:fill="2F5496" w:val="clear"/>
          </w:tcPr>
          <w:p>
            <w:pPr>
              <w:jc w:val="center"/>
            </w:pPr>
            <w:r>
              <w:rPr>
                <w:b/>
                <w:color w:val="FFFFFF"/>
                <w:sz w:val="18"/>
              </w:rPr>
              <w:t>Raw Formula</w:t>
            </w:r>
          </w:p>
        </w:tc>
        <w:tc>
          <w:tcPr>
            <w:tcW w:type="dxa" w:w="3135"/>
            <w:shd w:fill="2F5496" w:val="clear"/>
          </w:tcPr>
          <w:p>
            <w:pPr>
              <w:jc w:val="center"/>
            </w:pPr>
            <w:r>
              <w:rPr>
                <w:b/>
                <w:color w:val="FFFFFF"/>
                <w:sz w:val="18"/>
              </w:rPr>
              <w:t>Rationale</w:t>
            </w:r>
          </w:p>
        </w:tc>
      </w:tr>
      <w:tr>
        <w:tc>
          <w:tcPr>
            <w:tcW w:type="dxa" w:w="3135"/>
          </w:tcPr>
          <w:p>
            <w:r>
              <w:rPr>
                <w:sz w:val="18"/>
              </w:rPr>
              <w:t>w₁ (Demand)</w:t>
            </w:r>
          </w:p>
        </w:tc>
        <w:tc>
          <w:tcPr>
            <w:tcW w:type="dxa" w:w="3135"/>
          </w:tcPr>
          <w:p>
            <w:r>
              <w:rPr>
                <w:sz w:val="18"/>
              </w:rPr>
              <w:t>(MV + CCR + DFE) / 3</w:t>
            </w:r>
          </w:p>
        </w:tc>
        <w:tc>
          <w:tcPr>
            <w:tcW w:type="dxa" w:w="3135"/>
          </w:tcPr>
          <w:p>
            <w:r>
              <w:rPr>
                <w:sz w:val="18"/>
              </w:rPr>
              <w:t>Equal average of demand-related factors</w:t>
            </w:r>
          </w:p>
        </w:tc>
      </w:tr>
      <w:tr>
        <w:tc>
          <w:tcPr>
            <w:tcW w:type="dxa" w:w="3135"/>
            <w:shd w:fill="D6E4F0" w:val="clear"/>
          </w:tcPr>
          <w:p>
            <w:r>
              <w:rPr>
                <w:sz w:val="18"/>
              </w:rPr>
              <w:t>w₂ (Stock)</w:t>
            </w:r>
          </w:p>
        </w:tc>
        <w:tc>
          <w:tcPr>
            <w:tcW w:type="dxa" w:w="3135"/>
            <w:shd w:fill="D6E4F0" w:val="clear"/>
          </w:tcPr>
          <w:p>
            <w:r>
              <w:rPr>
                <w:sz w:val="18"/>
              </w:rPr>
              <w:t>0.4×WU + 0.3×CFP + 0.3×(1/max(ITR, 0.001))</w:t>
            </w:r>
          </w:p>
        </w:tc>
        <w:tc>
          <w:tcPr>
            <w:tcW w:type="dxa" w:w="3135"/>
            <w:shd w:fill="D6E4F0" w:val="clear"/>
          </w:tcPr>
          <w:p>
            <w:r>
              <w:rPr>
                <w:sz w:val="18"/>
              </w:rPr>
              <w:t>Weighted blend; low turnover increases urgency</w:t>
            </w:r>
          </w:p>
        </w:tc>
      </w:tr>
      <w:tr>
        <w:tc>
          <w:tcPr>
            <w:tcW w:type="dxa" w:w="3135"/>
          </w:tcPr>
          <w:p>
            <w:r>
              <w:rPr>
                <w:sz w:val="18"/>
              </w:rPr>
              <w:t>w₃ (Lead Time)</w:t>
            </w:r>
          </w:p>
        </w:tc>
        <w:tc>
          <w:tcPr>
            <w:tcW w:type="dxa" w:w="3135"/>
          </w:tcPr>
          <w:p>
            <w:r>
              <w:rPr>
                <w:sz w:val="18"/>
              </w:rPr>
              <w:t>(SCDI + IDR + GRI) / 3</w:t>
            </w:r>
          </w:p>
        </w:tc>
        <w:tc>
          <w:tcPr>
            <w:tcW w:type="dxa" w:w="3135"/>
          </w:tcPr>
          <w:p>
            <w:r>
              <w:rPr>
                <w:sz w:val="18"/>
              </w:rPr>
              <w:t>Equal average of supply chain risk factors</w:t>
            </w:r>
          </w:p>
        </w:tc>
      </w:tr>
      <w:tr>
        <w:tc>
          <w:tcPr>
            <w:tcW w:type="dxa" w:w="3135"/>
            <w:shd w:fill="D6E4F0" w:val="clear"/>
          </w:tcPr>
          <w:p>
            <w:r>
              <w:rPr>
                <w:sz w:val="18"/>
              </w:rPr>
              <w:t>w₄ (Profit)</w:t>
            </w:r>
          </w:p>
        </w:tc>
        <w:tc>
          <w:tcPr>
            <w:tcW w:type="dxa" w:w="3135"/>
            <w:shd w:fill="D6E4F0" w:val="clear"/>
          </w:tcPr>
          <w:p>
            <w:r>
              <w:rPr>
                <w:sz w:val="18"/>
              </w:rPr>
              <w:t>0.4×CPP + 0.3×PED + 0.3×IBG</w:t>
            </w:r>
          </w:p>
        </w:tc>
        <w:tc>
          <w:tcPr>
            <w:tcW w:type="dxa" w:w="3135"/>
            <w:shd w:fill="D6E4F0" w:val="clear"/>
          </w:tcPr>
          <w:p>
            <w:r>
              <w:rPr>
                <w:sz w:val="18"/>
              </w:rPr>
              <w:t>Competitive pressure weighted highest</w:t>
            </w:r>
          </w:p>
        </w:tc>
      </w:tr>
      <w:tr>
        <w:tc>
          <w:tcPr>
            <w:tcW w:type="dxa" w:w="3135"/>
          </w:tcPr>
          <w:p>
            <w:r>
              <w:rPr>
                <w:sz w:val="18"/>
              </w:rPr>
              <w:t>w₅ (Stockout)</w:t>
            </w:r>
          </w:p>
        </w:tc>
        <w:tc>
          <w:tcPr>
            <w:tcW w:type="dxa" w:w="3135"/>
          </w:tcPr>
          <w:p>
            <w:r>
              <w:rPr>
                <w:sz w:val="18"/>
              </w:rPr>
              <w:t>(MCI + (1−CSC) + (1−BLI)) / 3</w:t>
            </w:r>
          </w:p>
        </w:tc>
        <w:tc>
          <w:tcPr>
            <w:tcW w:type="dxa" w:w="3135"/>
          </w:tcPr>
          <w:p>
            <w:r>
              <w:rPr>
                <w:sz w:val="18"/>
              </w:rPr>
              <w:t>Inverted loyalty: easy-to-lose customers increase cost</w:t>
            </w:r>
          </w:p>
        </w:tc>
      </w:tr>
      <w:tr>
        <w:tc>
          <w:tcPr>
            <w:tcW w:type="dxa" w:w="3135"/>
            <w:shd w:fill="D6E4F0" w:val="clear"/>
          </w:tcPr>
          <w:p>
            <w:r>
              <w:rPr>
                <w:sz w:val="18"/>
              </w:rPr>
              <w:t>w₆ (Holding)</w:t>
            </w:r>
          </w:p>
        </w:tc>
        <w:tc>
          <w:tcPr>
            <w:tcW w:type="dxa" w:w="3135"/>
            <w:shd w:fill="D6E4F0" w:val="clear"/>
          </w:tcPr>
          <w:p>
            <w:r>
              <w:rPr>
                <w:sz w:val="18"/>
              </w:rPr>
              <w:t>0.3×IR + 0.3×SCI + 0.4×PPR</w:t>
            </w:r>
          </w:p>
        </w:tc>
        <w:tc>
          <w:tcPr>
            <w:tcW w:type="dxa" w:w="3135"/>
            <w:shd w:fill="D6E4F0" w:val="clear"/>
          </w:tcPr>
          <w:p>
            <w:r>
              <w:rPr>
                <w:sz w:val="18"/>
              </w:rPr>
              <w:t>Perishability weighted highest</w:t>
            </w:r>
          </w:p>
        </w:tc>
      </w:tr>
      <w:tr>
        <w:tc>
          <w:tcPr>
            <w:tcW w:type="dxa" w:w="3135"/>
          </w:tcPr>
          <w:p>
            <w:r>
              <w:rPr>
                <w:sz w:val="18"/>
              </w:rPr>
              <w:t>w₇ (Supplier)</w:t>
            </w:r>
          </w:p>
        </w:tc>
        <w:tc>
          <w:tcPr>
            <w:tcW w:type="dxa" w:w="3135"/>
          </w:tcPr>
          <w:p>
            <w:r>
              <w:rPr>
                <w:sz w:val="18"/>
              </w:rPr>
              <w:t>(SCR + GSCV + (1−SFH)) / 3</w:t>
            </w:r>
          </w:p>
        </w:tc>
        <w:tc>
          <w:tcPr>
            <w:tcW w:type="dxa" w:w="3135"/>
          </w:tcPr>
          <w:p>
            <w:r>
              <w:rPr>
                <w:sz w:val="18"/>
              </w:rPr>
              <w:t>Inverted health: weak suppliers increase risk</w:t>
            </w:r>
          </w:p>
        </w:tc>
      </w:tr>
      <w:tr>
        <w:tc>
          <w:tcPr>
            <w:tcW w:type="dxa" w:w="3135"/>
            <w:shd w:fill="D6E4F0" w:val="clear"/>
          </w:tcPr>
          <w:p>
            <w:r>
              <w:rPr>
                <w:sz w:val="18"/>
              </w:rPr>
              <w:t>w₈ (Season)</w:t>
            </w:r>
          </w:p>
        </w:tc>
        <w:tc>
          <w:tcPr>
            <w:tcW w:type="dxa" w:w="3135"/>
            <w:shd w:fill="D6E4F0" w:val="clear"/>
          </w:tcPr>
          <w:p>
            <w:r>
              <w:rPr>
                <w:sz w:val="18"/>
              </w:rPr>
              <w:t>0.4×SDCV + 0.3×ISI + 0.3×CEI</w:t>
            </w:r>
          </w:p>
        </w:tc>
        <w:tc>
          <w:tcPr>
            <w:tcW w:type="dxa" w:w="3135"/>
            <w:shd w:fill="D6E4F0" w:val="clear"/>
          </w:tcPr>
          <w:p>
            <w:r>
              <w:rPr>
                <w:sz w:val="18"/>
              </w:rPr>
              <w:t>Demand variability weighted highest</w:t>
            </w:r>
          </w:p>
        </w:tc>
      </w:tr>
    </w:tbl>
    <w:p/>
    <w:p>
      <w:pPr>
        <w:pStyle w:val="Heading2"/>
      </w:pPr>
      <w:r>
        <w:t>Normalization Step</w:t>
      </w:r>
    </w:p>
    <w:p>
      <w:pPr>
        <w:jc w:val="center"/>
      </w:pPr>
      <w:r>
        <w:rPr>
          <w:b/>
          <w:sz w:val="24"/>
        </w:rPr>
        <w:t>w_i (final) = w_i (raw) / Σ(w₁_raw + w₂_raw + ... + w₈_raw)</w:t>
      </w:r>
    </w:p>
    <w:p>
      <w:r>
        <w:t>This ensures all weights always sum to exactly 1.00, maintaining the priority score within the [0, 1] range regardless of market conditions.</w:t>
      </w:r>
    </w:p>
    <w:p>
      <w:pPr>
        <w:pStyle w:val="Heading2"/>
      </w:pPr>
      <w:r>
        <w:t>Fallback Weights</w:t>
      </w:r>
    </w:p>
    <w:p>
      <w:r>
        <w:t>When external factor data is unavailable, the system uses pre-defined fallback weights based on standard inventory management priorities: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18"/>
              </w:rPr>
              <w:t>Weight</w:t>
            </w:r>
          </w:p>
        </w:tc>
        <w:tc>
          <w:tcPr>
            <w:tcW w:type="dxa" w:w="2351"/>
            <w:shd w:fill="2F5496" w:val="clear"/>
          </w:tcPr>
          <w:p>
            <w:pPr>
              <w:jc w:val="center"/>
            </w:pPr>
            <w:r>
              <w:rPr>
                <w:b/>
                <w:color w:val="FFFFFF"/>
                <w:sz w:val="18"/>
              </w:rPr>
              <w:t>Variable</w:t>
            </w:r>
          </w:p>
        </w:tc>
        <w:tc>
          <w:tcPr>
            <w:tcW w:type="dxa" w:w="2351"/>
            <w:shd w:fill="2F5496" w:val="clear"/>
          </w:tcPr>
          <w:p>
            <w:pPr>
              <w:jc w:val="center"/>
            </w:pPr>
            <w:r>
              <w:rPr>
                <w:b/>
                <w:color w:val="FFFFFF"/>
                <w:sz w:val="18"/>
              </w:rPr>
              <w:t>Fallback Value</w:t>
            </w:r>
          </w:p>
        </w:tc>
        <w:tc>
          <w:tcPr>
            <w:tcW w:type="dxa" w:w="2351"/>
            <w:shd w:fill="2F5496" w:val="clear"/>
          </w:tcPr>
          <w:p>
            <w:pPr>
              <w:jc w:val="center"/>
            </w:pPr>
            <w:r>
              <w:rPr>
                <w:b/>
                <w:color w:val="FFFFFF"/>
                <w:sz w:val="18"/>
              </w:rPr>
              <w:t>Justification</w:t>
            </w:r>
          </w:p>
        </w:tc>
      </w:tr>
      <w:tr>
        <w:tc>
          <w:tcPr>
            <w:tcW w:type="dxa" w:w="2351"/>
          </w:tcPr>
          <w:p>
            <w:r>
              <w:rPr>
                <w:sz w:val="18"/>
              </w:rPr>
              <w:t>w₁</w:t>
            </w:r>
          </w:p>
        </w:tc>
        <w:tc>
          <w:tcPr>
            <w:tcW w:type="dxa" w:w="2351"/>
          </w:tcPr>
          <w:p>
            <w:r>
              <w:rPr>
                <w:sz w:val="18"/>
              </w:rPr>
              <w:t>Demand Rate</w:t>
            </w:r>
          </w:p>
        </w:tc>
        <w:tc>
          <w:tcPr>
            <w:tcW w:type="dxa" w:w="2351"/>
          </w:tcPr>
          <w:p>
            <w:r>
              <w:rPr>
                <w:sz w:val="18"/>
              </w:rPr>
              <w:t>0.25 (25%)</w:t>
            </w:r>
          </w:p>
        </w:tc>
        <w:tc>
          <w:tcPr>
            <w:tcW w:type="dxa" w:w="2351"/>
          </w:tcPr>
          <w:p>
            <w:r>
              <w:rPr>
                <w:sz w:val="18"/>
              </w:rPr>
              <w:t>Demand is the primary driver of restocking needs</w:t>
            </w:r>
          </w:p>
        </w:tc>
      </w:tr>
      <w:tr>
        <w:tc>
          <w:tcPr>
            <w:tcW w:type="dxa" w:w="2351"/>
            <w:shd w:fill="D6E4F0" w:val="clear"/>
          </w:tcPr>
          <w:p>
            <w:r>
              <w:rPr>
                <w:sz w:val="18"/>
              </w:rPr>
              <w:t>w₂</w:t>
            </w:r>
          </w:p>
        </w:tc>
        <w:tc>
          <w:tcPr>
            <w:tcW w:type="dxa" w:w="2351"/>
            <w:shd w:fill="D6E4F0" w:val="clear"/>
          </w:tcPr>
          <w:p>
            <w:r>
              <w:rPr>
                <w:sz w:val="18"/>
              </w:rPr>
              <w:t>Stock Level</w:t>
            </w:r>
          </w:p>
        </w:tc>
        <w:tc>
          <w:tcPr>
            <w:tcW w:type="dxa" w:w="2351"/>
            <w:shd w:fill="D6E4F0" w:val="clear"/>
          </w:tcPr>
          <w:p>
            <w:r>
              <w:rPr>
                <w:sz w:val="18"/>
              </w:rPr>
              <w:t>0.20 (20%)</w:t>
            </w:r>
          </w:p>
        </w:tc>
        <w:tc>
          <w:tcPr>
            <w:tcW w:type="dxa" w:w="2351"/>
            <w:shd w:fill="D6E4F0" w:val="clear"/>
          </w:tcPr>
          <w:p>
            <w:r>
              <w:rPr>
                <w:sz w:val="18"/>
              </w:rPr>
              <w:t>Current stock is the second most critical factor</w:t>
            </w:r>
          </w:p>
        </w:tc>
      </w:tr>
      <w:tr>
        <w:tc>
          <w:tcPr>
            <w:tcW w:type="dxa" w:w="2351"/>
          </w:tcPr>
          <w:p>
            <w:r>
              <w:rPr>
                <w:sz w:val="18"/>
              </w:rPr>
              <w:t>w₃</w:t>
            </w:r>
          </w:p>
        </w:tc>
        <w:tc>
          <w:tcPr>
            <w:tcW w:type="dxa" w:w="2351"/>
          </w:tcPr>
          <w:p>
            <w:r>
              <w:rPr>
                <w:sz w:val="18"/>
              </w:rPr>
              <w:t>Lead Time</w:t>
            </w:r>
          </w:p>
        </w:tc>
        <w:tc>
          <w:tcPr>
            <w:tcW w:type="dxa" w:w="2351"/>
          </w:tcPr>
          <w:p>
            <w:r>
              <w:rPr>
                <w:sz w:val="18"/>
              </w:rPr>
              <w:t>0.15 (15%)</w:t>
            </w:r>
          </w:p>
        </w:tc>
        <w:tc>
          <w:tcPr>
            <w:tcW w:type="dxa" w:w="2351"/>
          </w:tcPr>
          <w:p>
            <w:r>
              <w:rPr>
                <w:sz w:val="18"/>
              </w:rPr>
              <w:t>Supply chain timing affects order planning</w:t>
            </w:r>
          </w:p>
        </w:tc>
      </w:tr>
      <w:tr>
        <w:tc>
          <w:tcPr>
            <w:tcW w:type="dxa" w:w="2351"/>
            <w:shd w:fill="D6E4F0" w:val="clear"/>
          </w:tcPr>
          <w:p>
            <w:r>
              <w:rPr>
                <w:sz w:val="18"/>
              </w:rPr>
              <w:t>w₄</w:t>
            </w:r>
          </w:p>
        </w:tc>
        <w:tc>
          <w:tcPr>
            <w:tcW w:type="dxa" w:w="2351"/>
            <w:shd w:fill="D6E4F0" w:val="clear"/>
          </w:tcPr>
          <w:p>
            <w:r>
              <w:rPr>
                <w:sz w:val="18"/>
              </w:rPr>
              <w:t>Profit Margin</w:t>
            </w:r>
          </w:p>
        </w:tc>
        <w:tc>
          <w:tcPr>
            <w:tcW w:type="dxa" w:w="2351"/>
            <w:shd w:fill="D6E4F0" w:val="clear"/>
          </w:tcPr>
          <w:p>
            <w:r>
              <w:rPr>
                <w:sz w:val="18"/>
              </w:rPr>
              <w:t>0.10 (10%)</w:t>
            </w:r>
          </w:p>
        </w:tc>
        <w:tc>
          <w:tcPr>
            <w:tcW w:type="dxa" w:w="2351"/>
            <w:shd w:fill="D6E4F0" w:val="clear"/>
          </w:tcPr>
          <w:p>
            <w:r>
              <w:rPr>
                <w:sz w:val="18"/>
              </w:rPr>
              <w:t>Profitability guides capital allocation</w:t>
            </w:r>
          </w:p>
        </w:tc>
      </w:tr>
      <w:tr>
        <w:tc>
          <w:tcPr>
            <w:tcW w:type="dxa" w:w="2351"/>
          </w:tcPr>
          <w:p>
            <w:r>
              <w:rPr>
                <w:sz w:val="18"/>
              </w:rPr>
              <w:t>w₅</w:t>
            </w:r>
          </w:p>
        </w:tc>
        <w:tc>
          <w:tcPr>
            <w:tcW w:type="dxa" w:w="2351"/>
          </w:tcPr>
          <w:p>
            <w:r>
              <w:rPr>
                <w:sz w:val="18"/>
              </w:rPr>
              <w:t>Stockout Cost</w:t>
            </w:r>
          </w:p>
        </w:tc>
        <w:tc>
          <w:tcPr>
            <w:tcW w:type="dxa" w:w="2351"/>
          </w:tcPr>
          <w:p>
            <w:r>
              <w:rPr>
                <w:sz w:val="18"/>
              </w:rPr>
              <w:t>0.10 (10%)</w:t>
            </w:r>
          </w:p>
        </w:tc>
        <w:tc>
          <w:tcPr>
            <w:tcW w:type="dxa" w:w="2351"/>
          </w:tcPr>
          <w:p>
            <w:r>
              <w:rPr>
                <w:sz w:val="18"/>
              </w:rPr>
              <w:t>Cost of stockout affects financial exposure</w:t>
            </w:r>
          </w:p>
        </w:tc>
      </w:tr>
      <w:tr>
        <w:tc>
          <w:tcPr>
            <w:tcW w:type="dxa" w:w="2351"/>
            <w:shd w:fill="D6E4F0" w:val="clear"/>
          </w:tcPr>
          <w:p>
            <w:r>
              <w:rPr>
                <w:sz w:val="18"/>
              </w:rPr>
              <w:t>w₆</w:t>
            </w:r>
          </w:p>
        </w:tc>
        <w:tc>
          <w:tcPr>
            <w:tcW w:type="dxa" w:w="2351"/>
            <w:shd w:fill="D6E4F0" w:val="clear"/>
          </w:tcPr>
          <w:p>
            <w:r>
              <w:rPr>
                <w:sz w:val="18"/>
              </w:rPr>
              <w:t>Holding Cost</w:t>
            </w:r>
          </w:p>
        </w:tc>
        <w:tc>
          <w:tcPr>
            <w:tcW w:type="dxa" w:w="2351"/>
            <w:shd w:fill="D6E4F0" w:val="clear"/>
          </w:tcPr>
          <w:p>
            <w:r>
              <w:rPr>
                <w:sz w:val="18"/>
              </w:rPr>
              <w:t>0.08 (8%)</w:t>
            </w:r>
          </w:p>
        </w:tc>
        <w:tc>
          <w:tcPr>
            <w:tcW w:type="dxa" w:w="2351"/>
            <w:shd w:fill="D6E4F0" w:val="clear"/>
          </w:tcPr>
          <w:p>
            <w:r>
              <w:rPr>
                <w:sz w:val="18"/>
              </w:rPr>
              <w:t>Storage costs affect working capital</w:t>
            </w:r>
          </w:p>
        </w:tc>
      </w:tr>
      <w:tr>
        <w:tc>
          <w:tcPr>
            <w:tcW w:type="dxa" w:w="2351"/>
          </w:tcPr>
          <w:p>
            <w:r>
              <w:rPr>
                <w:sz w:val="18"/>
              </w:rPr>
              <w:t>w₇</w:t>
            </w:r>
          </w:p>
        </w:tc>
        <w:tc>
          <w:tcPr>
            <w:tcW w:type="dxa" w:w="2351"/>
          </w:tcPr>
          <w:p>
            <w:r>
              <w:rPr>
                <w:sz w:val="18"/>
              </w:rPr>
              <w:t>Supplier Reliability</w:t>
            </w:r>
          </w:p>
        </w:tc>
        <w:tc>
          <w:tcPr>
            <w:tcW w:type="dxa" w:w="2351"/>
          </w:tcPr>
          <w:p>
            <w:r>
              <w:rPr>
                <w:sz w:val="18"/>
              </w:rPr>
              <w:t>0.07 (7%)</w:t>
            </w:r>
          </w:p>
        </w:tc>
        <w:tc>
          <w:tcPr>
            <w:tcW w:type="dxa" w:w="2351"/>
          </w:tcPr>
          <w:p>
            <w:r>
              <w:rPr>
                <w:sz w:val="18"/>
              </w:rPr>
              <w:t>Supplier risk is a secondary factor</w:t>
            </w:r>
          </w:p>
        </w:tc>
      </w:tr>
      <w:tr>
        <w:tc>
          <w:tcPr>
            <w:tcW w:type="dxa" w:w="2351"/>
            <w:shd w:fill="D6E4F0" w:val="clear"/>
          </w:tcPr>
          <w:p>
            <w:r>
              <w:rPr>
                <w:sz w:val="18"/>
              </w:rPr>
              <w:t>w₈</w:t>
            </w:r>
          </w:p>
        </w:tc>
        <w:tc>
          <w:tcPr>
            <w:tcW w:type="dxa" w:w="2351"/>
            <w:shd w:fill="D6E4F0" w:val="clear"/>
          </w:tcPr>
          <w:p>
            <w:r>
              <w:rPr>
                <w:sz w:val="18"/>
              </w:rPr>
              <w:t>Seasonality</w:t>
            </w:r>
          </w:p>
        </w:tc>
        <w:tc>
          <w:tcPr>
            <w:tcW w:type="dxa" w:w="2351"/>
            <w:shd w:fill="D6E4F0" w:val="clear"/>
          </w:tcPr>
          <w:p>
            <w:r>
              <w:rPr>
                <w:sz w:val="18"/>
              </w:rPr>
              <w:t>0.05 (5%)</w:t>
            </w:r>
          </w:p>
        </w:tc>
        <w:tc>
          <w:tcPr>
            <w:tcW w:type="dxa" w:w="2351"/>
            <w:shd w:fill="D6E4F0" w:val="clear"/>
          </w:tcPr>
          <w:p>
            <w:r>
              <w:rPr>
                <w:sz w:val="18"/>
              </w:rPr>
              <w:t>Seasonal effects are periodic adjustments</w:t>
            </w:r>
          </w:p>
        </w:tc>
      </w:tr>
    </w:tbl>
    <w:p/>
    <w:p>
      <w:r>
        <w:rPr>
          <w:b/>
        </w:rPr>
        <w:t xml:space="preserve">Total: </w:t>
      </w:r>
      <w:r>
        <w:t>0.25 + 0.20 + 0.15 + 0.10 + 0.10 + 0.08 + 0.07 + 0.05 = 1.00 ✓</w:t>
      </w:r>
    </w:p>
    <w:p>
      <w:r>
        <w:br w:type="page"/>
      </w:r>
    </w:p>
    <w:p>
      <w:pPr>
        <w:pStyle w:val="Heading1"/>
      </w:pPr>
      <w:r>
        <w:t>7. Normalization Method</w:t>
      </w:r>
    </w:p>
    <w:p>
      <w:r>
        <w:t>All primary variables are normalized to the range [0, 1] using Min-Max scaling to ensure comparability across different units and scales (e.g., days vs. dollars vs. percentages).</w:t>
      </w:r>
    </w:p>
    <w:p>
      <w:pPr>
        <w:pStyle w:val="Heading2"/>
      </w:pPr>
      <w:r>
        <w:t>Standard Normalization</w:t>
      </w:r>
    </w:p>
    <w:p>
      <w:pPr>
        <w:jc w:val="center"/>
      </w:pPr>
      <w:r>
        <w:rPr>
          <w:b/>
          <w:sz w:val="24"/>
        </w:rPr>
        <w:t>X_normalized = (X − X_min) / (X_max − X_min)</w:t>
      </w:r>
    </w:p>
    <w:p>
      <w:r>
        <w:t>Applied to: D, L, P, SC, SR, SE</w:t>
      </w:r>
    </w:p>
    <w:p>
      <w:pPr>
        <w:pStyle w:val="Heading2"/>
      </w:pPr>
      <w:r>
        <w:t>Inverted Normalization</w:t>
      </w:r>
    </w:p>
    <w:p>
      <w:pPr>
        <w:jc w:val="center"/>
      </w:pPr>
      <w:r>
        <w:rPr>
          <w:b/>
          <w:sz w:val="24"/>
        </w:rPr>
        <w:t>X_normalized = 1 − (X − X_min) / (X_max − X_min)</w:t>
      </w:r>
    </w:p>
    <w:p>
      <w:r>
        <w:t>Applied to: S (Stock Level), HC (Holding Cost)</w:t>
      </w:r>
    </w:p>
    <w:p>
      <w:r>
        <w:t>Inversion is applied because for these variables, a lower raw value indicates higher restock urgency (less stock = more urgent; lower holding cost = cheaper to store more).</w:t>
      </w:r>
    </w:p>
    <w:p>
      <w:pPr>
        <w:pStyle w:val="Heading1"/>
      </w:pPr>
      <w:r>
        <w:t>8. Machine Learning Ensemble Method</w:t>
      </w:r>
    </w:p>
    <w:p>
      <w:r>
        <w:t>While the deterministic formula above provides a transparent baseline, we employ a machine learning ensemble to capture non-linear patterns and interactions between variables that the linear formula cannot express.</w:t>
      </w:r>
    </w:p>
    <w:p>
      <w:pPr>
        <w:pStyle w:val="Heading2"/>
      </w:pPr>
      <w:r>
        <w:t>8.1 Three Base Models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496" w:val="clear"/>
          </w:tcPr>
          <w:p>
            <w:pPr>
              <w:jc w:val="center"/>
            </w:pPr>
            <w:r>
              <w:rPr>
                <w:b/>
                <w:color w:val="FFFFFF"/>
                <w:sz w:val="18"/>
              </w:rPr>
              <w:t>Model</w:t>
            </w:r>
          </w:p>
        </w:tc>
        <w:tc>
          <w:tcPr>
            <w:tcW w:type="dxa" w:w="3135"/>
            <w:shd w:fill="2F5496" w:val="clear"/>
          </w:tcPr>
          <w:p>
            <w:pPr>
              <w:jc w:val="center"/>
            </w:pPr>
            <w:r>
              <w:rPr>
                <w:b/>
                <w:color w:val="FFFFFF"/>
                <w:sz w:val="18"/>
              </w:rPr>
              <w:t>Type</w:t>
            </w:r>
          </w:p>
        </w:tc>
        <w:tc>
          <w:tcPr>
            <w:tcW w:type="dxa" w:w="3135"/>
            <w:shd w:fill="2F5496" w:val="clear"/>
          </w:tcPr>
          <w:p>
            <w:pPr>
              <w:jc w:val="center"/>
            </w:pPr>
            <w:r>
              <w:rPr>
                <w:b/>
                <w:color w:val="FFFFFF"/>
                <w:sz w:val="18"/>
              </w:rPr>
              <w:t>Purpose</w:t>
            </w:r>
          </w:p>
        </w:tc>
      </w:tr>
      <w:tr>
        <w:tc>
          <w:tcPr>
            <w:tcW w:type="dxa" w:w="3135"/>
          </w:tcPr>
          <w:p>
            <w:r>
              <w:rPr>
                <w:sz w:val="18"/>
              </w:rPr>
              <w:t>XGBoost</w:t>
            </w:r>
          </w:p>
        </w:tc>
        <w:tc>
          <w:tcPr>
            <w:tcW w:type="dxa" w:w="3135"/>
          </w:tcPr>
          <w:p>
            <w:r>
              <w:rPr>
                <w:sz w:val="18"/>
              </w:rPr>
              <w:t>Gradient-boosted decision trees</w:t>
            </w:r>
          </w:p>
        </w:tc>
        <w:tc>
          <w:tcPr>
            <w:tcW w:type="dxa" w:w="3135"/>
          </w:tcPr>
          <w:p>
            <w:r>
              <w:rPr>
                <w:sz w:val="18"/>
              </w:rPr>
              <w:t>Captures feature interactions and non-linearities</w:t>
            </w:r>
          </w:p>
        </w:tc>
      </w:tr>
      <w:tr>
        <w:tc>
          <w:tcPr>
            <w:tcW w:type="dxa" w:w="3135"/>
            <w:shd w:fill="D6E4F0" w:val="clear"/>
          </w:tcPr>
          <w:p>
            <w:r>
              <w:rPr>
                <w:sz w:val="18"/>
              </w:rPr>
              <w:t>LightGBM</w:t>
            </w:r>
          </w:p>
        </w:tc>
        <w:tc>
          <w:tcPr>
            <w:tcW w:type="dxa" w:w="3135"/>
            <w:shd w:fill="D6E4F0" w:val="clear"/>
          </w:tcPr>
          <w:p>
            <w:r>
              <w:rPr>
                <w:sz w:val="18"/>
              </w:rPr>
              <w:t>Leaf-wise gradient boosting</w:t>
            </w:r>
          </w:p>
        </w:tc>
        <w:tc>
          <w:tcPr>
            <w:tcW w:type="dxa" w:w="3135"/>
            <w:shd w:fill="D6E4F0" w:val="clear"/>
          </w:tcPr>
          <w:p>
            <w:r>
              <w:rPr>
                <w:sz w:val="18"/>
              </w:rPr>
              <w:t>Fast training with high accuracy on tabular data</w:t>
            </w:r>
          </w:p>
        </w:tc>
      </w:tr>
      <w:tr>
        <w:tc>
          <w:tcPr>
            <w:tcW w:type="dxa" w:w="3135"/>
          </w:tcPr>
          <w:p>
            <w:r>
              <w:rPr>
                <w:sz w:val="18"/>
              </w:rPr>
              <w:t>MLP Neural Network</w:t>
            </w:r>
          </w:p>
        </w:tc>
        <w:tc>
          <w:tcPr>
            <w:tcW w:type="dxa" w:w="3135"/>
          </w:tcPr>
          <w:p>
            <w:r>
              <w:rPr>
                <w:sz w:val="18"/>
              </w:rPr>
              <w:t>2-layer fully connected network (128→64→1)</w:t>
            </w:r>
          </w:p>
        </w:tc>
        <w:tc>
          <w:tcPr>
            <w:tcW w:type="dxa" w:w="3135"/>
          </w:tcPr>
          <w:p>
            <w:r>
              <w:rPr>
                <w:sz w:val="18"/>
              </w:rPr>
              <w:t>Learns complex non-linear mappings</w:t>
            </w:r>
          </w:p>
        </w:tc>
      </w:tr>
    </w:tbl>
    <w:p/>
    <w:p>
      <w:pPr>
        <w:pStyle w:val="Heading2"/>
      </w:pPr>
      <w:r>
        <w:t>8.2 Meta-Learner (Stacking)</w:t>
      </w:r>
    </w:p>
    <w:p>
      <w:r>
        <w:t>The three base model predictions are combined using Ridge Regression (a regularized linear model) as a meta-learner:</w:t>
      </w:r>
    </w:p>
    <w:p>
      <w:pPr>
        <w:jc w:val="center"/>
      </w:pPr>
      <w:r>
        <w:rPr>
          <w:b/>
          <w:sz w:val="24"/>
        </w:rPr>
        <w:t>Final Score = Ridge(XGBoost_pred, LightGBM_pred, MLP_pred)</w:t>
      </w:r>
    </w:p>
    <w:p>
      <w:r>
        <w:t>The meta-learner is trained on Out-of-Fold (OOF) predictions using 5-fold Time-Series Cross-Validation to prevent data leakage and overfitting.</w:t>
      </w:r>
    </w:p>
    <w:p>
      <w:pPr>
        <w:pStyle w:val="Heading2"/>
      </w:pPr>
      <w:r>
        <w:t>8.3 Why an Ensemble?</w:t>
      </w:r>
    </w:p>
    <w:p>
      <w:pPr>
        <w:pStyle w:val="ListBullet"/>
      </w:pPr>
      <w:r>
        <w:t>Reduces prediction variance — individual model errors cancel out.</w:t>
      </w:r>
    </w:p>
    <w:p>
      <w:pPr>
        <w:pStyle w:val="ListBullet"/>
      </w:pPr>
      <w:r>
        <w:t>Captures both linear relationships (Ridge) and non-linear patterns (trees, neural network).</w:t>
      </w:r>
    </w:p>
    <w:p>
      <w:pPr>
        <w:pStyle w:val="ListBullet"/>
      </w:pPr>
      <w:r>
        <w:t>More robust to noisy or incomplete input data.</w:t>
      </w:r>
    </w:p>
    <w:p>
      <w:pPr>
        <w:pStyle w:val="ListBullet"/>
      </w:pPr>
      <w:r>
        <w:t>Validated against the deterministic formula to ensure consistency.</w:t>
      </w:r>
    </w:p>
    <w:p>
      <w:r>
        <w:br w:type="page"/>
      </w:r>
    </w:p>
    <w:p>
      <w:pPr>
        <w:pStyle w:val="Heading1"/>
      </w:pPr>
      <w:r>
        <w:t>9. Priority Tier Classification</w:t>
      </w:r>
    </w:p>
    <w:p>
      <w:r>
        <w:t>The continuous Priority Score is mapped to four actionable business tiers: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18"/>
              </w:rPr>
              <w:t>Tier</w:t>
            </w:r>
          </w:p>
        </w:tc>
        <w:tc>
          <w:tcPr>
            <w:tcW w:type="dxa" w:w="2351"/>
            <w:shd w:fill="2F5496" w:val="clear"/>
          </w:tcPr>
          <w:p>
            <w:pPr>
              <w:jc w:val="center"/>
            </w:pPr>
            <w:r>
              <w:rPr>
                <w:b/>
                <w:color w:val="FFFFFF"/>
                <w:sz w:val="18"/>
              </w:rPr>
              <w:t>Score Range</w:t>
            </w:r>
          </w:p>
        </w:tc>
        <w:tc>
          <w:tcPr>
            <w:tcW w:type="dxa" w:w="2351"/>
            <w:shd w:fill="2F5496" w:val="clear"/>
          </w:tcPr>
          <w:p>
            <w:pPr>
              <w:jc w:val="center"/>
            </w:pPr>
            <w:r>
              <w:rPr>
                <w:b/>
                <w:color w:val="FFFFFF"/>
                <w:sz w:val="18"/>
              </w:rPr>
              <w:t>Required Action</w:t>
            </w:r>
          </w:p>
        </w:tc>
        <w:tc>
          <w:tcPr>
            <w:tcW w:type="dxa" w:w="2351"/>
            <w:shd w:fill="2F5496" w:val="clear"/>
          </w:tcPr>
          <w:p>
            <w:pPr>
              <w:jc w:val="center"/>
            </w:pPr>
            <w:r>
              <w:rPr>
                <w:b/>
                <w:color w:val="FFFFFF"/>
                <w:sz w:val="18"/>
              </w:rPr>
              <w:t>Response Window</w:t>
            </w:r>
          </w:p>
        </w:tc>
      </w:tr>
      <w:tr>
        <w:tc>
          <w:tcPr>
            <w:tcW w:type="dxa" w:w="2351"/>
          </w:tcPr>
          <w:p>
            <w:r>
              <w:rPr>
                <w:sz w:val="18"/>
              </w:rPr>
              <w:t>CRITICAL</w:t>
            </w:r>
          </w:p>
        </w:tc>
        <w:tc>
          <w:tcPr>
            <w:tcW w:type="dxa" w:w="2351"/>
          </w:tcPr>
          <w:p>
            <w:r>
              <w:rPr>
                <w:sz w:val="18"/>
              </w:rPr>
              <w:t>0.75 – 1.00</w:t>
            </w:r>
          </w:p>
        </w:tc>
        <w:tc>
          <w:tcPr>
            <w:tcW w:type="dxa" w:w="2351"/>
          </w:tcPr>
          <w:p>
            <w:r>
              <w:rPr>
                <w:sz w:val="18"/>
              </w:rPr>
              <w:t>Restock immediately</w:t>
            </w:r>
          </w:p>
        </w:tc>
        <w:tc>
          <w:tcPr>
            <w:tcW w:type="dxa" w:w="2351"/>
          </w:tcPr>
          <w:p>
            <w:r>
              <w:rPr>
                <w:sz w:val="18"/>
              </w:rPr>
              <w:t>Within 24 hours</w:t>
            </w:r>
          </w:p>
        </w:tc>
      </w:tr>
      <w:tr>
        <w:tc>
          <w:tcPr>
            <w:tcW w:type="dxa" w:w="2351"/>
            <w:shd w:fill="D6E4F0" w:val="clear"/>
          </w:tcPr>
          <w:p>
            <w:r>
              <w:rPr>
                <w:sz w:val="18"/>
              </w:rPr>
              <w:t>HIGH</w:t>
            </w:r>
          </w:p>
        </w:tc>
        <w:tc>
          <w:tcPr>
            <w:tcW w:type="dxa" w:w="2351"/>
            <w:shd w:fill="D6E4F0" w:val="clear"/>
          </w:tcPr>
          <w:p>
            <w:r>
              <w:rPr>
                <w:sz w:val="18"/>
              </w:rPr>
              <w:t>0.50 – 0.74</w:t>
            </w:r>
          </w:p>
        </w:tc>
        <w:tc>
          <w:tcPr>
            <w:tcW w:type="dxa" w:w="2351"/>
            <w:shd w:fill="D6E4F0" w:val="clear"/>
          </w:tcPr>
          <w:p>
            <w:r>
              <w:rPr>
                <w:sz w:val="18"/>
              </w:rPr>
              <w:t>Place priority purchase order</w:t>
            </w:r>
          </w:p>
        </w:tc>
        <w:tc>
          <w:tcPr>
            <w:tcW w:type="dxa" w:w="2351"/>
            <w:shd w:fill="D6E4F0" w:val="clear"/>
          </w:tcPr>
          <w:p>
            <w:r>
              <w:rPr>
                <w:sz w:val="18"/>
              </w:rPr>
              <w:t>Within 3 days</w:t>
            </w:r>
          </w:p>
        </w:tc>
      </w:tr>
      <w:tr>
        <w:tc>
          <w:tcPr>
            <w:tcW w:type="dxa" w:w="2351"/>
          </w:tcPr>
          <w:p>
            <w:r>
              <w:rPr>
                <w:sz w:val="18"/>
              </w:rPr>
              <w:t>MEDIUM</w:t>
            </w:r>
          </w:p>
        </w:tc>
        <w:tc>
          <w:tcPr>
            <w:tcW w:type="dxa" w:w="2351"/>
          </w:tcPr>
          <w:p>
            <w:r>
              <w:rPr>
                <w:sz w:val="18"/>
              </w:rPr>
              <w:t>0.25 – 0.49</w:t>
            </w:r>
          </w:p>
        </w:tc>
        <w:tc>
          <w:tcPr>
            <w:tcW w:type="dxa" w:w="2351"/>
          </w:tcPr>
          <w:p>
            <w:r>
              <w:rPr>
                <w:sz w:val="18"/>
              </w:rPr>
              <w:t>Schedule routine restock</w:t>
            </w:r>
          </w:p>
        </w:tc>
        <w:tc>
          <w:tcPr>
            <w:tcW w:type="dxa" w:w="2351"/>
          </w:tcPr>
          <w:p>
            <w:r>
              <w:rPr>
                <w:sz w:val="18"/>
              </w:rPr>
              <w:t>Within 1 week</w:t>
            </w:r>
          </w:p>
        </w:tc>
      </w:tr>
      <w:tr>
        <w:tc>
          <w:tcPr>
            <w:tcW w:type="dxa" w:w="2351"/>
            <w:shd w:fill="D6E4F0" w:val="clear"/>
          </w:tcPr>
          <w:p>
            <w:r>
              <w:rPr>
                <w:sz w:val="18"/>
              </w:rPr>
              <w:t>LOW</w:t>
            </w:r>
          </w:p>
        </w:tc>
        <w:tc>
          <w:tcPr>
            <w:tcW w:type="dxa" w:w="2351"/>
            <w:shd w:fill="D6E4F0" w:val="clear"/>
          </w:tcPr>
          <w:p>
            <w:r>
              <w:rPr>
                <w:sz w:val="18"/>
              </w:rPr>
              <w:t>0.00 – 0.24</w:t>
            </w:r>
          </w:p>
        </w:tc>
        <w:tc>
          <w:tcPr>
            <w:tcW w:type="dxa" w:w="2351"/>
            <w:shd w:fill="D6E4F0" w:val="clear"/>
          </w:tcPr>
          <w:p>
            <w:r>
              <w:rPr>
                <w:sz w:val="18"/>
              </w:rPr>
              <w:t>Monitor only, no action</w:t>
            </w:r>
          </w:p>
        </w:tc>
        <w:tc>
          <w:tcPr>
            <w:tcW w:type="dxa" w:w="2351"/>
            <w:shd w:fill="D6E4F0" w:val="clear"/>
          </w:tcPr>
          <w:p>
            <w:r>
              <w:rPr>
                <w:sz w:val="18"/>
              </w:rPr>
              <w:t>Monthly review</w:t>
            </w:r>
          </w:p>
        </w:tc>
      </w:tr>
    </w:tbl>
    <w:p/>
    <w:p>
      <w:r>
        <w:t>These thresholds can be adjusted based on business requirements and risk tolerance. The current values represent a balanced trade-off between service level targets and inventory carrying costs.</w:t>
      </w:r>
    </w:p>
    <w:p>
      <w:pPr>
        <w:pStyle w:val="Heading1"/>
      </w:pPr>
      <w:r>
        <w:t>10. Model Validation &amp; Acceptance Criteria</w:t>
      </w:r>
    </w:p>
    <w:p>
      <w:r>
        <w:t>The model must pass all of the following acceptance thresholds before deployment. These criteria are evaluated on a held-out test set (15% of data, never seen during training).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F5496" w:val="clear"/>
          </w:tcPr>
          <w:p>
            <w:pPr>
              <w:jc w:val="center"/>
            </w:pPr>
            <w:r>
              <w:rPr>
                <w:b/>
                <w:color w:val="FFFFFF"/>
                <w:sz w:val="18"/>
              </w:rPr>
              <w:t>Metric</w:t>
            </w:r>
          </w:p>
        </w:tc>
        <w:tc>
          <w:tcPr>
            <w:tcW w:type="dxa" w:w="2351"/>
            <w:shd w:fill="2F5496" w:val="clear"/>
          </w:tcPr>
          <w:p>
            <w:pPr>
              <w:jc w:val="center"/>
            </w:pPr>
            <w:r>
              <w:rPr>
                <w:b/>
                <w:color w:val="FFFFFF"/>
                <w:sz w:val="18"/>
              </w:rPr>
              <w:t>Threshold</w:t>
            </w:r>
          </w:p>
        </w:tc>
        <w:tc>
          <w:tcPr>
            <w:tcW w:type="dxa" w:w="2351"/>
            <w:shd w:fill="2F5496" w:val="clear"/>
          </w:tcPr>
          <w:p>
            <w:pPr>
              <w:jc w:val="center"/>
            </w:pPr>
            <w:r>
              <w:rPr>
                <w:b/>
                <w:color w:val="FFFFFF"/>
                <w:sz w:val="18"/>
              </w:rPr>
              <w:t>Description</w:t>
            </w:r>
          </w:p>
        </w:tc>
        <w:tc>
          <w:tcPr>
            <w:tcW w:type="dxa" w:w="2351"/>
            <w:shd w:fill="2F5496" w:val="clear"/>
          </w:tcPr>
          <w:p>
            <w:pPr>
              <w:jc w:val="center"/>
            </w:pPr>
            <w:r>
              <w:rPr>
                <w:b/>
                <w:color w:val="FFFFFF"/>
                <w:sz w:val="18"/>
              </w:rPr>
              <w:t>Industry Standard</w:t>
            </w:r>
          </w:p>
        </w:tc>
      </w:tr>
      <w:tr>
        <w:tc>
          <w:tcPr>
            <w:tcW w:type="dxa" w:w="2351"/>
          </w:tcPr>
          <w:p>
            <w:r>
              <w:rPr>
                <w:sz w:val="18"/>
              </w:rPr>
              <w:t>Mean Absolute Error (MAE)</w:t>
            </w:r>
          </w:p>
        </w:tc>
        <w:tc>
          <w:tcPr>
            <w:tcW w:type="dxa" w:w="2351"/>
          </w:tcPr>
          <w:p>
            <w:r>
              <w:rPr>
                <w:sz w:val="18"/>
              </w:rPr>
              <w:t>&lt; 0.05</w:t>
            </w:r>
          </w:p>
        </w:tc>
        <w:tc>
          <w:tcPr>
            <w:tcW w:type="dxa" w:w="2351"/>
          </w:tcPr>
          <w:p>
            <w:r>
              <w:rPr>
                <w:sz w:val="18"/>
              </w:rPr>
              <w:t>Average prediction error must be under 5%</w:t>
            </w:r>
          </w:p>
        </w:tc>
        <w:tc>
          <w:tcPr>
            <w:tcW w:type="dxa" w:w="2351"/>
          </w:tcPr>
          <w:p>
            <w:r>
              <w:rPr>
                <w:sz w:val="18"/>
              </w:rPr>
              <w:t>Standard regression benchmark</w:t>
            </w:r>
          </w:p>
        </w:tc>
      </w:tr>
      <w:tr>
        <w:tc>
          <w:tcPr>
            <w:tcW w:type="dxa" w:w="2351"/>
            <w:shd w:fill="D6E4F0" w:val="clear"/>
          </w:tcPr>
          <w:p>
            <w:r>
              <w:rPr>
                <w:sz w:val="18"/>
              </w:rPr>
              <w:t>Root Mean Square Error (RMSE)</w:t>
            </w:r>
          </w:p>
        </w:tc>
        <w:tc>
          <w:tcPr>
            <w:tcW w:type="dxa" w:w="2351"/>
            <w:shd w:fill="D6E4F0" w:val="clear"/>
          </w:tcPr>
          <w:p>
            <w:r>
              <w:rPr>
                <w:sz w:val="18"/>
              </w:rPr>
              <w:t>&lt; 0.08</w:t>
            </w:r>
          </w:p>
        </w:tc>
        <w:tc>
          <w:tcPr>
            <w:tcW w:type="dxa" w:w="2351"/>
            <w:shd w:fill="D6E4F0" w:val="clear"/>
          </w:tcPr>
          <w:p>
            <w:r>
              <w:rPr>
                <w:sz w:val="18"/>
              </w:rPr>
              <w:t>Penalizes large errors more heavily</w:t>
            </w:r>
          </w:p>
        </w:tc>
        <w:tc>
          <w:tcPr>
            <w:tcW w:type="dxa" w:w="2351"/>
            <w:shd w:fill="D6E4F0" w:val="clear"/>
          </w:tcPr>
          <w:p>
            <w:r>
              <w:rPr>
                <w:sz w:val="18"/>
              </w:rPr>
              <w:t>Standard regression benchmark</w:t>
            </w:r>
          </w:p>
        </w:tc>
      </w:tr>
      <w:tr>
        <w:tc>
          <w:tcPr>
            <w:tcW w:type="dxa" w:w="2351"/>
          </w:tcPr>
          <w:p>
            <w:r>
              <w:rPr>
                <w:sz w:val="18"/>
              </w:rPr>
              <w:t>R-Squared (R²)</w:t>
            </w:r>
          </w:p>
        </w:tc>
        <w:tc>
          <w:tcPr>
            <w:tcW w:type="dxa" w:w="2351"/>
          </w:tcPr>
          <w:p>
            <w:r>
              <w:rPr>
                <w:sz w:val="18"/>
              </w:rPr>
              <w:t>&gt; 0.90</w:t>
            </w:r>
          </w:p>
        </w:tc>
        <w:tc>
          <w:tcPr>
            <w:tcW w:type="dxa" w:w="2351"/>
          </w:tcPr>
          <w:p>
            <w:r>
              <w:rPr>
                <w:sz w:val="18"/>
              </w:rPr>
              <w:t>Model explains &gt;90% of score variance</w:t>
            </w:r>
          </w:p>
        </w:tc>
        <w:tc>
          <w:tcPr>
            <w:tcW w:type="dxa" w:w="2351"/>
          </w:tcPr>
          <w:p>
            <w:r>
              <w:rPr>
                <w:sz w:val="18"/>
              </w:rPr>
              <w:t>High bar for financial models</w:t>
            </w:r>
          </w:p>
        </w:tc>
      </w:tr>
      <w:tr>
        <w:tc>
          <w:tcPr>
            <w:tcW w:type="dxa" w:w="2351"/>
            <w:shd w:fill="D6E4F0" w:val="clear"/>
          </w:tcPr>
          <w:p>
            <w:r>
              <w:rPr>
                <w:sz w:val="18"/>
              </w:rPr>
              <w:t>Mean Absolute % Error (MAPE)</w:t>
            </w:r>
          </w:p>
        </w:tc>
        <w:tc>
          <w:tcPr>
            <w:tcW w:type="dxa" w:w="2351"/>
            <w:shd w:fill="D6E4F0" w:val="clear"/>
          </w:tcPr>
          <w:p>
            <w:r>
              <w:rPr>
                <w:sz w:val="18"/>
              </w:rPr>
              <w:t>&lt; 7%</w:t>
            </w:r>
          </w:p>
        </w:tc>
        <w:tc>
          <w:tcPr>
            <w:tcW w:type="dxa" w:w="2351"/>
            <w:shd w:fill="D6E4F0" w:val="clear"/>
          </w:tcPr>
          <w:p>
            <w:r>
              <w:rPr>
                <w:sz w:val="18"/>
              </w:rPr>
              <w:t>Percentage-based error metric</w:t>
            </w:r>
          </w:p>
        </w:tc>
        <w:tc>
          <w:tcPr>
            <w:tcW w:type="dxa" w:w="2351"/>
            <w:shd w:fill="D6E4F0" w:val="clear"/>
          </w:tcPr>
          <w:p>
            <w:r>
              <w:rPr>
                <w:sz w:val="18"/>
              </w:rPr>
              <w:t>Acceptable for demand planning</w:t>
            </w:r>
          </w:p>
        </w:tc>
      </w:tr>
      <w:tr>
        <w:tc>
          <w:tcPr>
            <w:tcW w:type="dxa" w:w="2351"/>
          </w:tcPr>
          <w:p>
            <w:r>
              <w:rPr>
                <w:sz w:val="18"/>
              </w:rPr>
              <w:t>Precision @ Top 10%</w:t>
            </w:r>
          </w:p>
        </w:tc>
        <w:tc>
          <w:tcPr>
            <w:tcW w:type="dxa" w:w="2351"/>
          </w:tcPr>
          <w:p>
            <w:r>
              <w:rPr>
                <w:sz w:val="18"/>
              </w:rPr>
              <w:t>&gt; 0.85</w:t>
            </w:r>
          </w:p>
        </w:tc>
        <w:tc>
          <w:tcPr>
            <w:tcW w:type="dxa" w:w="2351"/>
          </w:tcPr>
          <w:p>
            <w:r>
              <w:rPr>
                <w:sz w:val="18"/>
              </w:rPr>
              <w:t>85%+ of predicted critical items are truly critical</w:t>
            </w:r>
          </w:p>
        </w:tc>
        <w:tc>
          <w:tcPr>
            <w:tcW w:type="dxa" w:w="2351"/>
          </w:tcPr>
          <w:p>
            <w:r>
              <w:rPr>
                <w:sz w:val="18"/>
              </w:rPr>
              <w:t>Ensures restocking accuracy</w:t>
            </w:r>
          </w:p>
        </w:tc>
      </w:tr>
      <w:tr>
        <w:tc>
          <w:tcPr>
            <w:tcW w:type="dxa" w:w="2351"/>
            <w:shd w:fill="D6E4F0" w:val="clear"/>
          </w:tcPr>
          <w:p>
            <w:r>
              <w:rPr>
                <w:sz w:val="18"/>
              </w:rPr>
              <w:t>Recall @ Top 10%</w:t>
            </w:r>
          </w:p>
        </w:tc>
        <w:tc>
          <w:tcPr>
            <w:tcW w:type="dxa" w:w="2351"/>
            <w:shd w:fill="D6E4F0" w:val="clear"/>
          </w:tcPr>
          <w:p>
            <w:r>
              <w:rPr>
                <w:sz w:val="18"/>
              </w:rPr>
              <w:t>&gt; 0.90</w:t>
            </w:r>
          </w:p>
        </w:tc>
        <w:tc>
          <w:tcPr>
            <w:tcW w:type="dxa" w:w="2351"/>
            <w:shd w:fill="D6E4F0" w:val="clear"/>
          </w:tcPr>
          <w:p>
            <w:r>
              <w:rPr>
                <w:sz w:val="18"/>
              </w:rPr>
              <w:t>90%+ of truly critical items are detected</w:t>
            </w:r>
          </w:p>
        </w:tc>
        <w:tc>
          <w:tcPr>
            <w:tcW w:type="dxa" w:w="2351"/>
            <w:shd w:fill="D6E4F0" w:val="clear"/>
          </w:tcPr>
          <w:p>
            <w:r>
              <w:rPr>
                <w:sz w:val="18"/>
              </w:rPr>
              <w:t>Minimizes missed stockouts</w:t>
            </w:r>
          </w:p>
        </w:tc>
      </w:tr>
    </w:tbl>
    <w:p/>
    <w:p>
      <w:pPr>
        <w:pStyle w:val="Heading2"/>
      </w:pPr>
      <w:r>
        <w:t>Ongoing Monitoring</w:t>
      </w:r>
    </w:p>
    <w:p>
      <w:r>
        <w:t>The system includes automated drift detection:</w:t>
      </w:r>
    </w:p>
    <w:p>
      <w:pPr>
        <w:pStyle w:val="ListBullet"/>
      </w:pPr>
      <w:r>
        <w:t>RMSE Drift Alert: Triggered if RMSE increases by more than 0.03 from baseline.</w:t>
      </w:r>
    </w:p>
    <w:p>
      <w:pPr>
        <w:pStyle w:val="ListBullet"/>
      </w:pPr>
      <w:r>
        <w:t>R² Drift Alert: Triggered if R² drops by more than 0.05 from baseline.</w:t>
      </w:r>
    </w:p>
    <w:p>
      <w:pPr>
        <w:pStyle w:val="ListBullet"/>
      </w:pPr>
      <w:r>
        <w:t>Population Stability Index (PSI): Monitors input feature distribution changes.</w:t>
      </w:r>
    </w:p>
    <w:p>
      <w:r>
        <w:br w:type="page"/>
      </w:r>
    </w:p>
    <w:p>
      <w:pPr>
        <w:pStyle w:val="Heading1"/>
      </w:pPr>
      <w:r>
        <w:t>11. Approval Sign-Off</w:t>
      </w:r>
    </w:p>
    <w:p>
      <w:r>
        <w:t>By signing below, the approver confirms that the mathematical equations, variables, weighting methodology, machine learning approach, and priority tier classifications described in this document are:</w:t>
      </w:r>
    </w:p>
    <w:p>
      <w:pPr>
        <w:pStyle w:val="ListBullet"/>
      </w:pPr>
      <w:r>
        <w:t>Mathematically sound and correctly implemented.</w:t>
      </w:r>
    </w:p>
    <w:p>
      <w:pPr>
        <w:pStyle w:val="ListBullet"/>
      </w:pPr>
      <w:r>
        <w:t>Financially appropriate for inventory management decision-making.</w:t>
      </w:r>
    </w:p>
    <w:p>
      <w:pPr>
        <w:pStyle w:val="ListBullet"/>
      </w:pPr>
      <w:r>
        <w:t>Consistent with standard inventory management and supply chain best practices.</w:t>
      </w:r>
    </w:p>
    <w:p>
      <w:pPr>
        <w:pStyle w:val="ListBullet"/>
      </w:pPr>
      <w:r>
        <w:t>Suitable for production deployment in the e-commerce platform.</w:t>
      </w:r>
    </w:p>
    <w:p/>
    <w:p/>
    <w:tbl>
      <w:tblPr>
        <w:tblW w:type="auto" w:w="0"/>
        <w:jc w:val="center"/>
        <w:tblLook w:firstColumn="1" w:firstRow="1" w:lastColumn="0" w:lastRow="0" w:noHBand="0" w:noVBand="1" w:val="04A0"/>
      </w:tblPr>
      <w:tblGrid>
        <w:gridCol w:w="4703"/>
        <w:gridCol w:w="4703"/>
      </w:tblGrid>
      <w:tr>
        <w:tc>
          <w:tcPr>
            <w:tcW w:type="dxa" w:w="4703"/>
          </w:tcPr>
          <w:p>
            <w:pPr>
              <w:spacing w:before="160" w:after="160"/>
            </w:pPr>
            <w:r>
              <w:rPr>
                <w:b/>
                <w:sz w:val="22"/>
              </w:rPr>
              <w:t>Prepared By:</w:t>
            </w:r>
          </w:p>
        </w:tc>
        <w:tc>
          <w:tcPr>
            <w:tcW w:type="dxa" w:w="4703"/>
          </w:tcPr>
          <w:p>
            <w:pPr>
              <w:spacing w:before="160" w:after="160"/>
            </w:pPr>
            <w:r>
              <w:rPr>
                <w:b/>
                <w:sz w:val="22"/>
              </w:rPr>
              <w:t>Reviewed By:</w:t>
            </w:r>
          </w:p>
        </w:tc>
      </w:tr>
      <w:tr>
        <w:tc>
          <w:tcPr>
            <w:tcW w:type="dxa" w:w="4703"/>
          </w:tcPr>
          <w:p>
            <w:pPr>
              <w:spacing w:before="160" w:after="160"/>
            </w:pPr>
            <w:r>
              <w:rPr>
                <w:sz w:val="22"/>
              </w:rPr>
              <w:t>Name: ____________________________</w:t>
            </w:r>
          </w:p>
        </w:tc>
        <w:tc>
          <w:tcPr>
            <w:tcW w:type="dxa" w:w="4703"/>
          </w:tcPr>
          <w:p>
            <w:pPr>
              <w:spacing w:before="160" w:after="160"/>
            </w:pPr>
            <w:r>
              <w:rPr>
                <w:sz w:val="22"/>
              </w:rPr>
              <w:t>Name: ____________________________</w:t>
            </w:r>
          </w:p>
        </w:tc>
      </w:tr>
      <w:tr>
        <w:tc>
          <w:tcPr>
            <w:tcW w:type="dxa" w:w="4703"/>
          </w:tcPr>
          <w:p>
            <w:pPr>
              <w:spacing w:before="160" w:after="160"/>
            </w:pPr>
            <w:r>
              <w:rPr>
                <w:sz w:val="22"/>
              </w:rPr>
              <w:t>Title: ____________________________</w:t>
            </w:r>
          </w:p>
        </w:tc>
        <w:tc>
          <w:tcPr>
            <w:tcW w:type="dxa" w:w="4703"/>
          </w:tcPr>
          <w:p>
            <w:pPr>
              <w:spacing w:before="160" w:after="160"/>
            </w:pPr>
            <w:r>
              <w:rPr>
                <w:sz w:val="22"/>
              </w:rPr>
              <w:t>Title: Financial Controller</w:t>
            </w:r>
          </w:p>
        </w:tc>
      </w:tr>
      <w:tr>
        <w:tc>
          <w:tcPr>
            <w:tcW w:type="dxa" w:w="4703"/>
          </w:tcPr>
          <w:p>
            <w:pPr>
              <w:spacing w:before="160" w:after="160"/>
            </w:pPr>
            <w:r>
              <w:rPr>
                <w:sz w:val="22"/>
              </w:rPr>
              <w:t>Date: ____________________________</w:t>
            </w:r>
          </w:p>
        </w:tc>
        <w:tc>
          <w:tcPr>
            <w:tcW w:type="dxa" w:w="4703"/>
          </w:tcPr>
          <w:p>
            <w:pPr>
              <w:spacing w:before="160" w:after="160"/>
            </w:pPr>
            <w:r>
              <w:rPr>
                <w:sz w:val="22"/>
              </w:rPr>
              <w:t>Date: ____________________________</w:t>
            </w:r>
          </w:p>
        </w:tc>
      </w:tr>
      <w:tr>
        <w:tc>
          <w:tcPr>
            <w:tcW w:type="dxa" w:w="4703"/>
          </w:tcPr>
          <w:p>
            <w:pPr>
              <w:spacing w:before="160" w:after="160"/>
            </w:pPr>
            <w:r>
              <w:rPr>
                <w:sz w:val="22"/>
              </w:rPr>
              <w:t>Signature: ________________________</w:t>
            </w:r>
          </w:p>
        </w:tc>
        <w:tc>
          <w:tcPr>
            <w:tcW w:type="dxa" w:w="4703"/>
          </w:tcPr>
          <w:p>
            <w:pPr>
              <w:spacing w:before="160" w:after="160"/>
            </w:pPr>
            <w:r>
              <w:rPr>
                <w:sz w:val="22"/>
              </w:rPr>
              <w:t>Signature: ________________________</w:t>
            </w:r>
          </w:p>
        </w:tc>
      </w:tr>
    </w:tbl>
    <w:p/>
    <w:p/>
    <w:p>
      <w:r>
        <w:rPr>
          <w:b/>
          <w:color w:val="008000"/>
          <w:sz w:val="28"/>
        </w:rPr>
        <w:t>☐  APPROVED</w:t>
      </w:r>
    </w:p>
    <w:p>
      <w:r>
        <w:rPr>
          <w:b/>
          <w:color w:val="FFA500"/>
          <w:sz w:val="28"/>
        </w:rPr>
        <w:t>☐  APPROVED WITH MODIFICATIONS (attach comments)</w:t>
      </w:r>
    </w:p>
    <w:p>
      <w:r>
        <w:rPr>
          <w:b/>
          <w:color w:val="C80000"/>
          <w:sz w:val="28"/>
        </w:rPr>
        <w:t>☐  NOT APPROVED (attach reasons)</w:t>
      </w:r>
    </w:p>
    <w:p/>
    <w:p>
      <w:r>
        <w:t>Comments / Modifications: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