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OrthoFlow Developer Guide</w:t>
      </w:r>
    </w:p>
    <w:p>
      <w:pPr>
        <w:pStyle w:val="Subtitle"/>
      </w:pPr>
      <w:r>
        <w:t>CO2060 Milestone 4</w:t>
      </w:r>
    </w:p>
    <w:p>
      <w:r>
        <w:t>Project team E23G20 | Version 1.0 | 25 September 2026</w:t>
      </w:r>
    </w:p>
    <w:p>
      <w:r>
        <w:t>This guide explains installation, development, testing and maintenance of OrthoFlow. It covers the current Desktop implementation and its operational limitations, with particular attention to preserving clinical records and isolating tests.</w:t>
      </w:r>
    </w:p>
    <w:p>
      <w:pPr>
        <w:pStyle w:val="Heading2"/>
      </w:pPr>
      <w:r>
        <w:t>1 Architecture and source map</w:t>
      </w:r>
    </w:p>
    <w:p>
      <w:r>
        <w:t>The React client calls an Express API. The API uses Prisma Client to access PostgreSQL. Prisma is the ORM, not a database replacement. Clinical files are stored on the backend filesystem; database rows describe their association and metadata.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4"/>
        <w:gridCol w:w="4874"/>
      </w:tblGrid>
      <w:tr>
        <w:trPr>
          <w:tblHeader/>
        </w:trPr>
        <w:tc>
          <w:tcPr>
            <w:tcW w:type="dxa" w:w="3024"/>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Location</w:t>
            </w:r>
          </w:p>
        </w:tc>
        <w:tc>
          <w:tcPr>
            <w:tcW w:type="dxa" w:w="6480"/>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Responsibility</w:t>
            </w:r>
          </w:p>
        </w:tc>
      </w:tr>
      <w:tr>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code/frontend/src</w:t>
            </w:r>
          </w:p>
        </w:tc>
        <w:tc>
          <w:tcPr>
            <w:tcW w:type="dxa" w:w="64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Pages, layout, themes, API wrapper and clinical forms.</w:t>
            </w:r>
          </w:p>
        </w:tc>
      </w:tr>
      <w:tr>
        <w:tc>
          <w:tcPr>
            <w:tcW w:type="dxa" w:w="3024"/>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code/shared</w:t>
            </w:r>
          </w:p>
        </w:tc>
        <w:tc>
          <w:tcPr>
            <w:tcW w:type="dxa" w:w="6480"/>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caseHistoryFields.json and clinicalFields.json define structured clinical fields.</w:t>
            </w:r>
          </w:p>
        </w:tc>
      </w:tr>
      <w:tr>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code/backend/src/routes</w:t>
            </w:r>
          </w:p>
        </w:tc>
        <w:tc>
          <w:tcPr>
            <w:tcW w:type="dxa" w:w="64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Authentication, patient, clinical, appointment, media, access and notification APIs.</w:t>
            </w:r>
          </w:p>
        </w:tc>
      </w:tr>
      <w:tr>
        <w:tc>
          <w:tcPr>
            <w:tcW w:type="dxa" w:w="3024"/>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code/backend/src/services</w:t>
            </w:r>
          </w:p>
        </w:tc>
        <w:tc>
          <w:tcPr>
            <w:tcW w:type="dxa" w:w="6480"/>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SMTP delivery and in-process reminder scheduling.</w:t>
            </w:r>
          </w:p>
        </w:tc>
      </w:tr>
      <w:tr>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code/backend/prisma</w:t>
            </w:r>
          </w:p>
        </w:tc>
        <w:tc>
          <w:tcPr>
            <w:tcW w:type="dxa" w:w="64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Schema and committed migrations. Legacy dev.db is not the configured PostgreSQL database.</w:t>
            </w:r>
          </w:p>
        </w:tc>
      </w:tr>
      <w:tr>
        <w:tc>
          <w:tcPr>
            <w:tcW w:type="dxa" w:w="3024"/>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scripts/run-tests.cjs</w:t>
            </w:r>
          </w:p>
        </w:tc>
        <w:tc>
          <w:tcPr>
            <w:tcW w:type="dxa" w:w="6480"/>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Test runner and timestamped evidence collection.</w:t>
            </w:r>
          </w:p>
        </w:tc>
      </w:tr>
      <w:tr>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docs/testing</w:t>
            </w:r>
          </w:p>
        </w:tc>
        <w:tc>
          <w:tcPr>
            <w:tcW w:type="dxa" w:w="64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Test plans, execution instructions, results and limitations.</w:t>
            </w:r>
          </w:p>
        </w:tc>
      </w:tr>
    </w:tbl>
    <w:p/>
    <w:p>
      <w:pPr>
        <w:pStyle w:val="Heading2"/>
      </w:pPr>
      <w:r>
        <w:t>Technology baseline</w:t>
      </w:r>
    </w:p>
    <w:p>
      <w:r>
        <w:t>React 18 and Vite 5; Express 5; Prisma 5.22; PostgreSQL; Nodemailer; bcrypt and JWT; Multer; FullCalendar 6.1.21; Playwright; and Node built-in tests. Use package-lock.json and npm ci for reproducibility. The verified Windows environment used Node 24.15.0 and PostgreSQL 18 tools.</w:t>
      </w:r>
    </w:p>
    <w:p>
      <w:pPr>
        <w:pStyle w:val="Heading2"/>
      </w:pPr>
      <w:r>
        <w:t>Contents</w:t>
      </w:r>
    </w:p>
    <w:p>
      <w:r>
        <w:t>2 Installation and startup - page 2</w:t>
        <w:br/>
        <w:t>3 Environment and account setup - page 3</w:t>
        <w:br/>
        <w:t>4 Data model and API - page 4</w:t>
        <w:br/>
        <w:t>5 Reminder and media behavior - page 5</w:t>
        <w:br/>
        <w:t>6 Testing and evidence - page 6</w:t>
        <w:br/>
        <w:t>7 Operations and security - page 7</w:t>
        <w:br/>
        <w:t>8 Troubleshooting and handover - page 8</w:t>
      </w:r>
    </w:p>
    <w:p>
      <w:r>
        <w:br w:type="page"/>
      </w:r>
    </w:p>
    <w:p>
      <w:pPr>
        <w:pStyle w:val="Heading1"/>
      </w:pPr>
      <w:r>
        <w:t>2 Installation and startup</w:t>
      </w:r>
    </w:p>
    <w:p>
      <w:r>
        <w:t>Install Node.js with npm, PostgreSQL and pgAdmin. Use the supplied project folder or an approved source checkout. Commands below use Windows Command Prompt and the existing Desktop location; adjust the path for another machine.</w:t>
      </w:r>
    </w:p>
    <w:p>
      <w:pPr>
        <w:pStyle w:val="Heading2"/>
      </w:pPr>
      <w:r>
        <w:t>Prepare PostgreSQL</w:t>
      </w:r>
    </w:p>
    <w:p>
      <w:r>
        <w:t>1. Start PostgreSQL, connect in pgAdmin and create an application database named orthoflow with an appropriate owner.</w:t>
      </w:r>
    </w:p>
    <w:p>
      <w:r>
        <w:t>2. In code/backend, create .env from .env.example only if no configured .env exists. Fill the variables on page 3.</w:t>
      </w:r>
    </w:p>
    <w:p>
      <w:r>
        <w:t>3. Use a separate database and restricted credentials for tests. Do not use db push, migrate reset or database deletion as a production repair.</w:t>
      </w:r>
    </w:p>
    <w:p>
      <w:pPr>
        <w:pStyle w:val="Heading2"/>
      </w:pPr>
      <w:r>
        <w:t>Install and start the backend</w:t>
      </w:r>
    </w:p>
    <w:p>
      <w:r>
        <w:rPr>
          <w:rFonts w:ascii="Consolas" w:hAnsi="Consolas"/>
          <w:sz w:val="18"/>
        </w:rPr>
        <w:t>cd /d C:\Users\ASUS\Desktop\e23-co2060-OrthoFlow\code\backend</w:t>
        <w:br/>
        <w:t>npm ci</w:t>
        <w:br/>
        <w:t>npm run db:generate</w:t>
        <w:br/>
        <w:t>npm run db:deploy</w:t>
        <w:br/>
        <w:t>npm start</w:t>
      </w:r>
    </w:p>
    <w:p>
      <w:r>
        <w:t>Apply reviewed migrations only to the intended database. Back up an existing installation first. The backend defaults to port 8080; npm run dev uses nodemon for development. Keep the backend running for automatic reminders.</w:t>
      </w:r>
    </w:p>
    <w:p>
      <w:pPr>
        <w:pStyle w:val="Heading2"/>
      </w:pPr>
      <w:r>
        <w:t>Install and start the frontend</w:t>
      </w:r>
    </w:p>
    <w:p>
      <w:r>
        <w:rPr>
          <w:rFonts w:ascii="Consolas" w:hAnsi="Consolas"/>
          <w:sz w:val="18"/>
        </w:rPr>
        <w:t>cd /d C:\Users\ASUS\Desktop\e23-co2060-OrthoFlow\code\frontend</w:t>
        <w:br/>
        <w:t>npm ci</w:t>
        <w:br/>
        <w:t>npm run dev -- --port 5173 --strictPort</w:t>
      </w:r>
    </w:p>
    <w:p>
      <w:r>
        <w:t>Use a second terminal. Open http://localhost:5173. src/api.js currently hardcodes http://localhost:8080 as the API base. For another host, update this configuration and review related media URLs; changing only the backend port is insufficient.</w:t>
      </w:r>
    </w:p>
    <w:p>
      <w:pPr>
        <w:pStyle w:val="Heading2"/>
      </w:pPr>
      <w:r>
        <w:t>Verify and build</w:t>
      </w:r>
    </w:p>
    <w:p>
      <w:r>
        <w:t>Check http://localhost:8080/health, sign in with an authorized account and open a fictional test record. The health route reports configuration flags, not a complete database or SMTP transaction check. Some internal messages retain the legacy name OrthoRecords.</w:t>
      </w:r>
    </w:p>
    <w:p>
      <w:r>
        <w:rPr>
          <w:rFonts w:ascii="Consolas" w:hAnsi="Consolas"/>
          <w:sz w:val="18"/>
        </w:rPr>
        <w:t>npm run build</w:t>
      </w:r>
    </w:p>
    <w:p>
      <w:r>
        <w:t>Run the build from code/frontend. Output is dist. Vite development and preview servers are not the production hosting and process-management arrangement.</w:t>
      </w:r>
    </w:p>
    <w:p>
      <w:r>
        <w:br w:type="page"/>
      </w:r>
    </w:p>
    <w:p>
      <w:pPr>
        <w:pStyle w:val="Heading1"/>
      </w:pPr>
      <w:r>
        <w:t>3 Environment and account setup</w:t>
      </w:r>
    </w:p>
    <w:p>
      <w:r>
        <w:t>Edit code/backend/.env in a text editor. Typing NAME=value directly in Windows Command Prompt does not edit the file. Never overwrite an existing configuration, commit credentials or expose them in screenshots.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4"/>
        <w:gridCol w:w="4874"/>
      </w:tblGrid>
      <w:tr>
        <w:trPr>
          <w:tblHeader/>
        </w:trPr>
        <w:tc>
          <w:tcPr>
            <w:tcW w:type="dxa" w:w="3384"/>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Variable</w:t>
            </w:r>
          </w:p>
        </w:tc>
        <w:tc>
          <w:tcPr>
            <w:tcW w:type="dxa" w:w="6120"/>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Purpose</w:t>
            </w:r>
          </w:p>
        </w:tc>
      </w:tr>
      <w:t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DATABASE_URL</w:t>
            </w:r>
          </w:p>
        </w:tc>
        <w:tc>
          <w:tcPr>
            <w:tcW w:type="dxa" w:w="61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PostgreSQL connection for the application database.</w:t>
            </w:r>
          </w:p>
        </w:tc>
      </w:tr>
      <w:tr>
        <w:tc>
          <w:tcPr>
            <w:tcW w:type="dxa" w:w="3384"/>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JWT_SECRET</w:t>
            </w:r>
          </w:p>
        </w:tc>
        <w:tc>
          <w:tcPr>
            <w:tcW w:type="dxa" w:w="6120"/>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Long unpredictable token-signing secret.</w:t>
            </w:r>
          </w:p>
        </w:tc>
      </w:tr>
      <w:t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SMTP_HOST / SMTP_PORT</w:t>
            </w:r>
          </w:p>
        </w:tc>
        <w:tc>
          <w:tcPr>
            <w:tcW w:type="dxa" w:w="61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SMTP server and port supplied by the provider.</w:t>
            </w:r>
          </w:p>
        </w:tc>
      </w:tr>
      <w:tr>
        <w:tc>
          <w:tcPr>
            <w:tcW w:type="dxa" w:w="3384"/>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SMTP_SECURE</w:t>
            </w:r>
          </w:p>
        </w:tc>
        <w:tc>
          <w:tcPr>
            <w:tcW w:type="dxa" w:w="6120"/>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true for implicit TLS where required; false for STARTTLS-style configuration such as port 587.</w:t>
            </w:r>
          </w:p>
        </w:tc>
      </w:tr>
      <w:t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SMTP_USER / SMTP_PASS</w:t>
            </w:r>
          </w:p>
        </w:tc>
        <w:tc>
          <w:tcPr>
            <w:tcW w:type="dxa" w:w="61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Provider-authorized account and secret. Use an app password when required by the provider.</w:t>
            </w:r>
          </w:p>
        </w:tc>
      </w:tr>
      <w:tr>
        <w:tc>
          <w:tcPr>
            <w:tcW w:type="dxa" w:w="3384"/>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MAIL_FROM</w:t>
            </w:r>
          </w:p>
        </w:tc>
        <w:tc>
          <w:tcPr>
            <w:tcW w:type="dxa" w:w="6120"/>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Approved sender identity such as OrthoFlow Clinic &lt;clinic@example.com&gt;.</w:t>
            </w:r>
          </w:p>
        </w:tc>
      </w:tr>
      <w:t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REMINDER_ADVANCE_HOURS</w:t>
            </w:r>
          </w:p>
        </w:tc>
        <w:tc>
          <w:tcPr>
            <w:tcW w:type="dxa" w:w="61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Reminder window; default 24.</w:t>
            </w:r>
          </w:p>
        </w:tc>
      </w:tr>
      <w:tr>
        <w:tc>
          <w:tcPr>
            <w:tcW w:type="dxa" w:w="3384"/>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REMINDER_SCAN_INTERVAL_MINUTES</w:t>
            </w:r>
          </w:p>
        </w:tc>
        <w:tc>
          <w:tcPr>
            <w:tcW w:type="dxa" w:w="6120"/>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Polling interval; default 5.</w:t>
            </w:r>
          </w:p>
        </w:tc>
      </w:tr>
      <w:t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PORT</w:t>
            </w:r>
          </w:p>
        </w:tc>
        <w:tc>
          <w:tcPr>
            <w:tcW w:type="dxa" w:w="61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Optional backend port; default 8080. Client URL must match.</w:t>
            </w:r>
          </w:p>
        </w:tc>
      </w:tr>
      <w:tr>
        <w:tc>
          <w:tcPr>
            <w:tcW w:type="dxa" w:w="3384"/>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PG_BIN</w:t>
            </w:r>
          </w:p>
        </w:tc>
        <w:tc>
          <w:tcPr>
            <w:tcW w:type="dxa" w:w="6120"/>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PostgreSQL tools directory for backup operations if not at the default location.</w:t>
            </w:r>
          </w:p>
        </w:tc>
      </w:tr>
    </w:tbl>
    <w:p/>
    <w:p>
      <w:pPr>
        <w:pStyle w:val="Heading2"/>
      </w:pPr>
      <w:r>
        <w:t>Connection shape</w:t>
      </w:r>
    </w:p>
    <w:p>
      <w:r>
        <w:rPr>
          <w:rFonts w:ascii="Consolas" w:hAnsi="Consolas"/>
          <w:sz w:val="18"/>
        </w:rPr>
        <w:t>DATABASE_URL="postgresql://APP_USER:ENCODED_PASSWORD@localhost:5432/orthoflow?schema=public"</w:t>
        <w:br/>
        <w:t>JWT_SECRET="REPLACE_WITH_A_LONG_RANDOM_SECRET"</w:t>
      </w:r>
    </w:p>
    <w:p>
      <w:r>
        <w:t>Replace placeholders locally. Percent-encode reserved characters in connection-string credentials. Restart the backend after configuration changes.</w:t>
      </w:r>
    </w:p>
    <w:p>
      <w:pPr>
        <w:pStyle w:val="Heading2"/>
      </w:pPr>
      <w:r>
        <w:t>Accounts and deployment restrictions</w:t>
      </w:r>
    </w:p>
    <w:p>
      <w:r>
        <w:t>server.js currently seeds known demonstration accounts when absent. Remove or restrict this seeding and rotate demonstration credentials before real deployment. Do not publish them in manuals. Tokens expire after 24 hours; authenticated requests reload current account roles from the database.</w:t>
      </w:r>
    </w:p>
    <w:p>
      <w:r>
        <w:t>Roles are STAFF, STUDENT and ADMIN. ADMIN is routed to account management in the frontend. Some clinical APIs also permit ADMIN, but student-access routes require STAFF. There is no PATIENT role. Patient notification lookup matches email addresses; review identity verification before extending this into a patient portal.</w:t>
      </w:r>
    </w:p>
    <w:p>
      <w:r>
        <w:br w:type="page"/>
      </w:r>
    </w:p>
    <w:p>
      <w:pPr>
        <w:pStyle w:val="Heading1"/>
      </w:pPr>
      <w:r>
        <w:t>4 Data model and API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4"/>
        <w:gridCol w:w="4874"/>
      </w:tblGrid>
      <w:tr>
        <w:trPr>
          <w:tblHeader/>
        </w:trPr>
        <w:tc>
          <w:tcPr>
            <w:tcW w:type="dxa" w:w="2232"/>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Model</w:t>
            </w:r>
          </w:p>
        </w:tc>
        <w:tc>
          <w:tcPr>
            <w:tcW w:type="dxa" w:w="7272"/>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Purpose</w:t>
            </w:r>
          </w:p>
        </w:tc>
      </w:tr>
      <w:tr>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User</w:t>
            </w:r>
          </w:p>
        </w:tc>
        <w:tc>
          <w:tcPr>
            <w:tcW w:type="dxa" w:w="72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Credentials and role; linked to access grants and notifications.</w:t>
            </w:r>
          </w:p>
        </w:tc>
      </w:tr>
      <w:tr>
        <w:tc>
          <w:tcPr>
            <w:tcW w:type="dxa" w:w="2232"/>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Patient</w:t>
            </w:r>
          </w:p>
        </w:tc>
        <w:tc>
          <w:tcPr>
            <w:tcW w:type="dxa" w:w="7272"/>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UUID identity, unique human-readable patientId, demographics, caseHistory JSON and archive state.</w:t>
            </w:r>
          </w:p>
        </w:tc>
      </w:tr>
      <w:tr>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PatientAccess</w:t>
            </w:r>
          </w:p>
        </w:tc>
        <w:tc>
          <w:tcPr>
            <w:tcW w:type="dxa" w:w="72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User-to-patient association restricting student access.</w:t>
            </w:r>
          </w:p>
        </w:tc>
      </w:tr>
      <w:tr>
        <w:tc>
          <w:tcPr>
            <w:tcW w:type="dxa" w:w="2232"/>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Appointment</w:t>
            </w:r>
          </w:p>
        </w:tc>
        <w:tc>
          <w:tcPr>
            <w:tcW w:type="dxa" w:w="7272"/>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Patient, optional clinician reference, date, time, status and reminder fields.</w:t>
            </w:r>
          </w:p>
        </w:tc>
      </w:tr>
      <w:tr>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Radiograph</w:t>
            </w:r>
          </w:p>
        </w:tc>
        <w:tc>
          <w:tcPr>
            <w:tcW w:type="dxa" w:w="72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Patient-associated file URL and media metadata.</w:t>
            </w:r>
          </w:p>
        </w:tc>
      </w:tr>
      <w:tr>
        <w:tc>
          <w:tcPr>
            <w:tcW w:type="dxa" w:w="2232"/>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HistoryLog</w:t>
            </w:r>
          </w:p>
        </w:tc>
        <w:tc>
          <w:tcPr>
            <w:tcW w:type="dxa" w:w="7272"/>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Patient activity with actor and changes where implemented.</w:t>
            </w:r>
          </w:p>
        </w:tc>
      </w:tr>
      <w:tr>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Notification</w:t>
            </w:r>
          </w:p>
        </w:tc>
        <w:tc>
          <w:tcPr>
            <w:tcW w:type="dxa" w:w="72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Patient or user association, recipient type and read status.</w:t>
            </w:r>
          </w:p>
        </w:tc>
      </w:tr>
      <w:tr>
        <w:tc>
          <w:tcPr>
            <w:tcW w:type="dxa" w:w="2232"/>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ClinicalRecord</w:t>
            </w:r>
          </w:p>
        </w:tc>
        <w:tc>
          <w:tcPr>
            <w:tcW w:type="dxa" w:w="7272"/>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Treatment, consent, visit, retention or discharge entry with revision and approval data.</w:t>
            </w:r>
          </w:p>
        </w:tc>
      </w:tr>
    </w:tbl>
    <w:p/>
    <w:p>
      <w:r>
        <w:t>Registration uses ORT-YYYY-NNNN based on the backend year. Treat the displayed next number as a suggestion; uniqueness is enforced by PostgreSQL. Review concurrent registration and sequence-growth behavior before scaling. Do not substitute UUIDs for clinical registration labels.</w:t>
      </w:r>
    </w:p>
    <w:p>
      <w:pPr>
        <w:pStyle w:val="Heading2"/>
      </w:pPr>
      <w:r>
        <w:t>Route map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4"/>
        <w:gridCol w:w="4874"/>
      </w:tblGrid>
      <w:tr>
        <w:trPr>
          <w:tblHeader/>
        </w:trPr>
        <w:tc>
          <w:tcPr>
            <w:tcW w:type="dxa" w:w="2520"/>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Prefix</w:t>
            </w:r>
          </w:p>
        </w:tc>
        <w:tc>
          <w:tcPr>
            <w:tcW w:type="dxa" w:w="6984"/>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Representative operations</w:t>
            </w:r>
          </w:p>
        </w:tc>
      </w:tr>
      <w:tr>
        <w:tc>
          <w:tcPr>
            <w:tcW w:type="dxa" w:w="25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/auth</w:t>
            </w:r>
          </w:p>
        </w:tc>
        <w:tc>
          <w:tcPr>
            <w:tcW w:type="dxa" w:w="69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POST /login; GET and PUT /me; account creation subject to route rules.</w:t>
            </w:r>
          </w:p>
        </w:tc>
      </w:tr>
      <w:tr>
        <w:tc>
          <w:tcPr>
            <w:tcW w:type="dxa" w:w="2520"/>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/patient</w:t>
            </w:r>
          </w:p>
        </w:tc>
        <w:tc>
          <w:tcPr>
            <w:tcW w:type="dxa" w:w="6984"/>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GET /; POST /register; GET and PUT /:id; POST /:id/archive. DELETE is refused.</w:t>
            </w:r>
          </w:p>
        </w:tc>
      </w:tr>
      <w:tr>
        <w:tc>
          <w:tcPr>
            <w:tcW w:type="dxa" w:w="25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/clinical</w:t>
            </w:r>
          </w:p>
        </w:tc>
        <w:tc>
          <w:tcPr>
            <w:tcW w:type="dxa" w:w="69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GET and POST /:patientId; POST /:patientId/:id/approve; GET /:patientId/:id/document.</w:t>
            </w:r>
          </w:p>
        </w:tc>
      </w:tr>
      <w:tr>
        <w:tc>
          <w:tcPr>
            <w:tcW w:type="dxa" w:w="2520"/>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/appointment</w:t>
            </w:r>
          </w:p>
        </w:tc>
        <w:tc>
          <w:tcPr>
            <w:tcW w:type="dxa" w:w="6984"/>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GET /; POST /register; PATCH /:id/reschedule and /:id/status; POST /:id/remind.</w:t>
            </w:r>
          </w:p>
        </w:tc>
      </w:tr>
      <w:tr>
        <w:tc>
          <w:tcPr>
            <w:tcW w:type="dxa" w:w="25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/radiograph and /uploads</w:t>
            </w:r>
          </w:p>
        </w:tc>
        <w:tc>
          <w:tcPr>
            <w:tcW w:type="dxa" w:w="69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Upload, metadata retrieval and authorized image delivery.</w:t>
            </w:r>
          </w:p>
        </w:tc>
      </w:tr>
      <w:tr>
        <w:tc>
          <w:tcPr>
            <w:tcW w:type="dxa" w:w="2520"/>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/access and /admin</w:t>
            </w:r>
          </w:p>
        </w:tc>
        <w:tc>
          <w:tcPr>
            <w:tcW w:type="dxa" w:w="6984"/>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Student assignment and administrative account operations.</w:t>
            </w:r>
          </w:p>
        </w:tc>
      </w:tr>
      <w:tr>
        <w:tc>
          <w:tcPr>
            <w:tcW w:type="dxa" w:w="25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/notification</w:t>
            </w:r>
          </w:p>
        </w:tc>
        <w:tc>
          <w:tcPr>
            <w:tcW w:type="dxa" w:w="69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GET /; PATCH /read-all and /:id/read.</w:t>
            </w:r>
          </w:p>
        </w:tc>
      </w:tr>
    </w:tbl>
    <w:p/>
    <w:p>
      <w:r>
        <w:t>Protected requests use Authorization: Bearer &lt;token&gt;. Ordinary requests use JSON. Clinical document uploads use multipart fields payload and document. Handle 400 validation, 401/403 access, 404 missing resources and 409 conflicts without discarding user input.</w:t>
      </w:r>
    </w:p>
    <w:p>
      <w:r>
        <w:br w:type="page"/>
      </w:r>
    </w:p>
    <w:p>
      <w:pPr>
        <w:pStyle w:val="Heading1"/>
      </w:pPr>
      <w:r>
        <w:t>5 Reminder and media behavior</w:t>
      </w:r>
    </w:p>
    <w:p>
      <w:pPr>
        <w:pStyle w:val="Heading2"/>
      </w:pPr>
      <w:r>
        <w:t>Reminder lifecycle</w:t>
      </w:r>
    </w:p>
    <w:p>
      <w:r>
        <w:t>1. Creation and rescheduling determine a reminder due time relative to the appointment.</w:t>
      </w:r>
    </w:p>
    <w:p>
      <w:r>
        <w:t>2. The scheduler performs a startup scan and repeats, normally every five minutes.</w:t>
      </w:r>
    </w:p>
    <w:p>
      <w:r>
        <w:t>3. The scan selects future Scheduled or Confirmed bookings for non-archived patients inside the reminder window.</w:t>
      </w:r>
    </w:p>
    <w:p>
      <w:r>
        <w:t>4. Delivery targets patient email and assigned clinician. Legacy unassigned bookings can target staff/admin recipients; assign a clinician before relying on this behavior.</w:t>
      </w:r>
    </w:p>
    <w:p>
      <w:r>
        <w:t>5. Recipient status, notifications and attempt times are recorded. Successful automatic recipients are not intentionally resent; failures can be retried.</w:t>
      </w:r>
    </w:p>
    <w:p>
      <w:r>
        <w:t>A PostgreSQL advisory transaction lock coordinates sensitive reminder, booking and archive operations. SMTP delivery and database persistence are not atomic: a crash after external delivery can still lead to duplicate risk. Do not claim exactly-once delivery.</w:t>
      </w:r>
    </w:p>
    <w:p>
      <w:r>
        <w:t>Manual Remind uses a forced path and can resend. Rescheduling resets delivery state and marks old panel reminders read. Cancelled, completed, missed and archived cases are excluded. The backend must remain running; reminders are not recovered once an appointment is already past.</w:t>
      </w:r>
    </w:p>
    <w:p>
      <w:pPr>
        <w:pStyle w:val="Heading2"/>
      </w:pPr>
      <w:r>
        <w:t>SMTP verification</w:t>
      </w:r>
    </w:p>
    <w:p>
      <w:r>
        <w:rPr>
          <w:rFonts w:ascii="Consolas" w:hAnsi="Consolas"/>
          <w:sz w:val="18"/>
        </w:rPr>
        <w:t>npm run test:email -- team-controlled-inbox@example.com</w:t>
      </w:r>
    </w:p>
    <w:p>
      <w:r>
        <w:t>Run from code/backend only with permission to email that inbox. Incomplete SMTP settings produce mock logs instead of actual delivery. Check result.mock and the inbox. SMTP acceptance alone does not prove receipt. Configure backend timezone consistently with clinic dates.</w:t>
      </w:r>
    </w:p>
    <w:p>
      <w:pPr>
        <w:pStyle w:val="Heading2"/>
      </w:pPr>
      <w:r>
        <w:t>Media and consent files</w:t>
      </w:r>
    </w:p>
    <w:p>
      <w:r>
        <w:t>Radiograph and case-history uploads accept JPEG, PNG and WebP up to 15 MB. Files live in code/backend/public/uploads and are delivered through authenticated /uploads/:filename access checks. Never expose this folder as unrestricted static content.</w:t>
      </w:r>
    </w:p>
    <w:p>
      <w:r>
        <w:t>Consent accepts PDF, PNG or JPEG up to 10 MB and stores evidence under code/backend/private/consents. Use the protected clinical document route. Granted consent for minors needs guardian details. Backup the filesystem and database together.</w:t>
      </w:r>
    </w:p>
    <w:p>
      <w:r>
        <w:t>Review upload validation, malware scanning and filesystem permissions before deployment. The application is not a diagnostic image-analysis system or a DICOM viewer.</w:t>
      </w:r>
    </w:p>
    <w:p>
      <w:r>
        <w:br w:type="page"/>
      </w:r>
    </w:p>
    <w:p>
      <w:pPr>
        <w:pStyle w:val="Heading1"/>
      </w:pPr>
      <w:r>
        <w:t>6 Testing and evidence</w:t>
      </w:r>
    </w:p>
    <w:p>
      <w:pPr>
        <w:pStyle w:val="Heading2"/>
      </w:pPr>
      <w:r>
        <w:t>Repeatable commands</w:t>
      </w:r>
    </w:p>
    <w:p>
      <w:r>
        <w:t>From the project root, run the common test runner. Logs and summary.json are saved under docs/testing/evidence/runs with UTC timestamps.</w:t>
      </w:r>
    </w:p>
    <w:p>
      <w:r>
        <w:rPr>
          <w:rFonts w:ascii="Consolas" w:hAnsi="Consolas"/>
          <w:sz w:val="18"/>
        </w:rPr>
        <w:t>node scripts/run-tests.cjs unit</w:t>
        <w:br/>
        <w:t>node scripts/run-tests.cjs coverage</w:t>
        <w:br/>
        <w:t>node scripts/run-tests.cjs ui</w:t>
        <w:br/>
        <w:t>node scripts/run-tests.cjs build</w:t>
      </w:r>
    </w:p>
    <w:p>
      <w:r>
        <w:t>UI checks require the frontend on localhost:5173, Playwright dependencies and Microsoft Edge. They mock API requests to localhost:8080 and use fictional data; no live backend is needed. Successful UI checks also save screenshots.</w:t>
      </w:r>
    </w:p>
    <w:p>
      <w:pPr>
        <w:pStyle w:val="Heading2"/>
      </w:pPr>
      <w:r>
        <w:t>Isolated integration setup</w:t>
      </w:r>
    </w:p>
    <w:p>
      <w:r>
        <w:t>1. Create a separate database orthoflow_test with a dedicated owner restricted to test data.</w:t>
      </w:r>
    </w:p>
    <w:p>
      <w:r>
        <w:t>2. Copy code/backend/.env.test.example to .env.test only if it does not exist. Set TEST_DATABASE_URL; leave the application .env unchanged.</w:t>
      </w:r>
    </w:p>
    <w:p>
      <w:r>
        <w:t>3. Ensure DATABASE_URL is not separately set in the terminal. From code/backend run npm run test:prepare to apply migrations and create a non-login staff fixture.</w:t>
      </w:r>
    </w:p>
    <w:p>
      <w:r>
        <w:t>4. Run npm run test:integration. Both scripts validate the target before loading Prisma. Never bypass this guard.</w:t>
      </w:r>
    </w:p>
    <w:p>
      <w:r>
        <w:t>Test database names must end in _test and differ from the application database. Do not run suites concurrently against the same test database. Temporary records and a consent file are created and cleaned by the tests; inspect leftovers after interruption.</w:t>
      </w:r>
    </w:p>
    <w:p>
      <w:pPr>
        <w:pStyle w:val="Heading2"/>
      </w:pPr>
      <w:r>
        <w:t>Verified evidence and limitations</w:t>
      </w:r>
    </w:p>
    <w:p>
      <w:r>
        <w:t>The 24 September verification passed 16 Node unit tests, three browser suites at desktop/mobile widths in both themes, and the production build. The build reports a bundle-size warning. Integration scripts refused absent test configuration; this is not a successful functional integration run.</w:t>
      </w:r>
    </w:p>
    <w:p>
      <w:r>
        <w:t>Coverage attributes 100% line, branch and function coverage to caseHistory.js but excludes the VM-loaded reminder source. The aggregate is not whole-project coverage. Manual acceptance, real SMTP receipt and fresh backup restoration were not performed in that verification.</w:t>
      </w:r>
    </w:p>
    <w:p>
      <w:r>
        <w:t>Use docs/testing/results.md, test-plan.md, manual-test-cases.csv and bug-log.csv. Record actual outcomes, evidence, tester and date. Unperformed cases remain Not run. Mock UI tests do not prove full frontend-to-database integration.</w:t>
      </w:r>
    </w:p>
    <w:p>
      <w:r>
        <w:br w:type="page"/>
      </w:r>
    </w:p>
    <w:p>
      <w:pPr>
        <w:pStyle w:val="Heading1"/>
      </w:pPr>
      <w:r>
        <w:t>7 Operations and security</w:t>
      </w:r>
    </w:p>
    <w:p>
      <w:pPr>
        <w:pStyle w:val="Heading2"/>
      </w:pPr>
      <w:r>
        <w:t>Backup and recovery</w:t>
      </w:r>
    </w:p>
    <w:p>
      <w:r>
        <w:t>Stop the backend before capturing a backup to keep database and media consistent. Run from code/backend:</w:t>
      </w:r>
    </w:p>
    <w:p>
      <w:r>
        <w:rPr>
          <w:rFonts w:ascii="Consolas" w:hAnsi="Consolas"/>
          <w:sz w:val="18"/>
        </w:rPr>
        <w:t>node src/scripts/backup.cjs backup</w:t>
        <w:br/>
        <w:t>node src/scripts/backup.cjs restore-check "C:\path\to\backup-folder"</w:t>
      </w:r>
    </w:p>
    <w:p>
      <w:r>
        <w:t>Backups include a PostgreSQL custom-format dump, image uploads, private consent files and checksum manifest. Default Windows storage is %LOCALAPPDATA%/OrthoFlow/backups. PG_BIN defaults to the PostgreSQL 18 bin folder. Restrict backup access and use compatible tools.</w:t>
      </w:r>
    </w:p>
    <w:p>
      <w:r>
        <w:t>restore-check restores into a separate temporary database, verifies table row counts and file checksums, and removes only temporary restored resources. Review results before accepting a backup.</w:t>
      </w:r>
    </w:p>
    <w:p>
      <w:r>
        <w:rPr>
          <w:rFonts w:ascii="Consolas" w:hAnsi="Consolas"/>
          <w:sz w:val="18"/>
        </w:rPr>
        <w:t>node src/scripts/backup.cjs restore-copy "C:\path\to\backup-folder"</w:t>
      </w:r>
    </w:p>
    <w:p>
      <w:r>
        <w:t>restore-copy retains a separate recovered database and media tree. For an approved recovery, stop the app, preserve existing data, update DATABASE_URL and install recovered uploads/private folders. Apply reviewed migrations, regenerate Prisma Client and verify access before returning to service.</w:t>
      </w:r>
    </w:p>
    <w:p>
      <w:pPr>
        <w:pStyle w:val="Heading2"/>
      </w:pPr>
      <w:r>
        <w:t>Required deployment work</w:t>
      </w:r>
    </w:p>
    <w:p>
      <w:r>
        <w:t>Disable demonstration seeding, rotate credentials, enforce HTTPS, restrict CORS, review role validation and add rate limits. JWTs are stored in browser localStorage; review the implications for XSS and session management.</w:t>
      </w:r>
    </w:p>
    <w:p>
      <w:r>
        <w:t>Use least-privilege PostgreSQL and filesystem access. Establish institutional policies for consent, record retention, access review, incidents and exports. Clinical revisions and activity logs do not make the entire database tamper-proof.</w:t>
      </w:r>
    </w:p>
    <w:p>
      <w:r>
        <w:t>Use a monitored backend process with restart policy and consistent timezone. Configure scheduled and offsite backups separately; the script is operator-run. Monitor reminder failures, database errors, disk space and upload failures without exposing patient data in logs.</w:t>
      </w:r>
    </w:p>
    <w:p>
      <w:r>
        <w:t>Keep .env, .env.test, uploaded files, private documents, databases and raw evidence out of Git. Review intended commits. Copying the source folder does not back up PostgreSQL data.</w:t>
      </w:r>
    </w:p>
    <w:p>
      <w:r>
        <w:br w:type="page"/>
      </w:r>
    </w:p>
    <w:p>
      <w:pPr>
        <w:pStyle w:val="Heading1"/>
      </w:pPr>
      <w:r>
        <w:t>8 Troubleshooting and handover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4"/>
        <w:gridCol w:w="4874"/>
      </w:tblGrid>
      <w:tr>
        <w:trPr>
          <w:tblHeader/>
        </w:trPr>
        <w:tc>
          <w:tcPr>
            <w:tcW w:type="dxa" w:w="2376"/>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Symptom</w:t>
            </w:r>
          </w:p>
        </w:tc>
        <w:tc>
          <w:tcPr>
            <w:tcW w:type="dxa" w:w="7128"/>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Next action</w:t>
            </w:r>
          </w:p>
        </w:tc>
      </w:tr>
      <w:t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npm ENOENT package.json</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Run npm from code/backend or code/frontend. The root has no package.json; root test commands use node scripts/run-tests.cjs.</w:t>
            </w:r>
          </w:p>
        </w:tc>
      </w:tr>
      <w:tr>
        <w:tc>
          <w:tcPr>
            <w:tcW w:type="dxa" w:w="2376"/>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npm EPERM Prisma DLL</w:t>
            </w:r>
          </w:p>
        </w:tc>
        <w:tc>
          <w:tcPr>
            <w:tcW w:type="dxa" w:w="7128"/>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Stop backend and Prisma Studio before npm ci. If still locked, restart Windows and install before starting services. Run db:generate afterward.</w:t>
            </w:r>
          </w:p>
        </w:tc>
      </w:tr>
      <w:t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Database connection fails</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Check PostgreSQL service, database, URL encoding and owner permissions. Verify configuration without printing secrets.</w:t>
            </w:r>
          </w:p>
        </w:tc>
      </w:tr>
      <w:tr>
        <w:tc>
          <w:tcPr>
            <w:tcW w:type="dxa" w:w="2376"/>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Client cannot reach API</w:t>
            </w:r>
          </w:p>
        </w:tc>
        <w:tc>
          <w:tcPr>
            <w:tcW w:type="dxa" w:w="7128"/>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Check localhost:8080, src/api.js and backend logs. Loading the frontend does not prove API connectivity.</w:t>
            </w:r>
          </w:p>
        </w:tc>
      </w:tr>
      <w:t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Port 5173 occupied</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Use the known existing frontend or stop only its process. UI scripts expect 5173.</w:t>
            </w:r>
          </w:p>
        </w:tc>
      </w:tr>
      <w:tr>
        <w:tc>
          <w:tcPr>
            <w:tcW w:type="dxa" w:w="2376"/>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Reminder Pending or Mock</w:t>
            </w:r>
          </w:p>
        </w:tc>
        <w:tc>
          <w:tcPr>
            <w:tcW w:type="dxa" w:w="7128"/>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Check active future booking, window, uptime, recipient and SMTP. Mock is not real delivery.</w:t>
            </w:r>
          </w:p>
        </w:tc>
      </w:tr>
      <w:t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Test target rejected</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Configure a distinct _test database. Do not remove the guard or use patient data.</w:t>
            </w:r>
          </w:p>
        </w:tc>
      </w:tr>
      <w:tr>
        <w:tc>
          <w:tcPr>
            <w:tcW w:type="dxa" w:w="2376"/>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Backup or upload fails</w:t>
            </w:r>
          </w:p>
        </w:tc>
        <w:tc>
          <w:tcPr>
            <w:tcW w:type="dxa" w:w="7128"/>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Inspect disk space, permissions, PostgreSQL tools and manifest evidence. Preserve existing files while diagnosing.</w:t>
            </w:r>
          </w:p>
        </w:tc>
      </w:tr>
    </w:tbl>
    <w:p/>
    <w:p>
      <w:pPr>
        <w:pStyle w:val="Heading2"/>
      </w:pPr>
      <w:r>
        <w:t>Maintain source safely</w:t>
      </w:r>
    </w:p>
    <w:p>
      <w:r>
        <w:t>Use shared clinical field definitions and update frontend/backend validation together. Create reviewed Prisma migrations for schema changes. Add regression tests for permissions, integrity and timing. Keep FullCalendar packages on compatible versions.</w:t>
      </w:r>
    </w:p>
    <w:p>
      <w:pPr>
        <w:pStyle w:val="Heading2"/>
      </w:pPr>
      <w:r>
        <w:t>Handover checklist</w:t>
      </w:r>
    </w:p>
    <w:p>
      <w:r>
        <w:t>1. Identify the maintained source version, deployment folder and installed versions.</w:t>
      </w:r>
    </w:p>
    <w:p>
      <w:r>
        <w:t>2. Transfer secrets through an approved secure channel, never inside this guide.</w:t>
      </w:r>
    </w:p>
    <w:p>
      <w:r>
        <w:t>3. Demonstrate startup, a fictional patient workflow, tests and controlled backup verification.</w:t>
      </w:r>
    </w:p>
    <w:p>
      <w:r>
        <w:t>4. Assign support ownership, document limitations and obtain clinician feedback before operational acceptance.</w:t>
      </w:r>
    </w:p>
    <w:p>
      <w:pPr>
        <w:pStyle w:val="Heading2"/>
      </w:pPr>
      <w:r>
        <w:t>Implementation references</w:t>
      </w:r>
    </w:p>
    <w:p>
      <w:r>
        <w:t>Project-relative sources: code/backend/prisma/schema.prisma; backend src/server.js, routes and services; frontend src/App.jsx and api.js; code/shared definitions; docs/CLINICAL_WORKFLOW.md; and docs/testing/README.md.</w:t>
      </w:r>
    </w:p>
    <w:sectPr w:rsidR="00FC693F" w:rsidRPr="0006063C" w:rsidSect="00034616">
      <w:headerReference w:type="default" r:id="rId9"/>
      <w:footerReference w:type="default" r:id="rId10"/>
      <w:pgSz w:w="11909" w:h="16834"/>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E23G20 | Version 1.0 | 25 September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ORTHOFLOW  |  DEVELOPER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20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before="20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OrthoFlow Developer Guide</dc:title>
  <dc:subject/>
  <dc:creator>OrthoFlow Project Team E23G20</dc:creator>
  <cp:keywords/>
  <dc:description>generated by python-docx</dc:description>
  <cp:lastModifiedBy/>
  <cp:revision>1</cp:revision>
  <dcterms:created xsi:type="dcterms:W3CDTF">2013-12-23T23:15:00Z</dcterms:created>
  <dcterms:modified xsi:type="dcterms:W3CDTF">2013-12-23T23:15:00Z</dcterms:modified>
  <cp:category/>
</cp:coreProperties>
</file>