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Times New Roman" w:cs="Times New Roman" w:eastAsia="Times New Roman" w:hAnsi="Times New Roman"/>
          <w:b/>
          <w:bCs/>
          <w:i w:val="false"/>
          <w:iCs w:val="false"/>
          <w:color w:val="000000"/>
          <w:sz w:val="26"/>
          <w:szCs w:val="26"/>
        </w:rPr>
        <w:t xml:space="preserve">CO543/CO5430 Computer Vision Project Proposal - 2026</w:t>
      </w:r>
    </w:p>
    <w:p>
      <w:pPr>
        <w:spacing w:after="20" w:before="0" w:line="240"/>
        <w:jc w:val="center"/>
      </w:pPr>
      <w:r>
        <w:rPr>
          <w:rFonts w:ascii="Times New Roman" w:cs="Times New Roman" w:eastAsia="Times New Roman" w:hAnsi="Times New Roman"/>
          <w:b/>
          <w:bCs/>
          <w:i w:val="false"/>
          <w:iCs w:val="false"/>
          <w:color w:val="000000"/>
          <w:sz w:val="18"/>
          <w:szCs w:val="18"/>
        </w:rPr>
        <w:t xml:space="preserve">Project ID: </w:t>
      </w:r>
      <w:r>
        <w:rPr>
          <w:rFonts w:ascii="Times New Roman" w:cs="Times New Roman" w:eastAsia="Times New Roman" w:hAnsi="Times New Roman"/>
          <w:b w:val="false"/>
          <w:bCs w:val="false"/>
          <w:i w:val="false"/>
          <w:iCs w:val="false"/>
          <w:color w:val="000000"/>
          <w:sz w:val="18"/>
          <w:szCs w:val="18"/>
        </w:rPr>
        <w:t xml:space="preserve">P17  |  </w:t>
      </w:r>
      <w:r>
        <w:rPr>
          <w:rFonts w:ascii="Times New Roman" w:cs="Times New Roman" w:eastAsia="Times New Roman" w:hAnsi="Times New Roman"/>
          <w:b/>
          <w:bCs/>
          <w:i w:val="false"/>
          <w:iCs w:val="false"/>
          <w:color w:val="000000"/>
          <w:sz w:val="18"/>
          <w:szCs w:val="18"/>
        </w:rPr>
        <w:t xml:space="preserve">Category: </w:t>
      </w:r>
      <w:r>
        <w:rPr>
          <w:rFonts w:ascii="Times New Roman" w:cs="Times New Roman" w:eastAsia="Times New Roman" w:hAnsi="Times New Roman"/>
          <w:b w:val="false"/>
          <w:bCs w:val="false"/>
          <w:i w:val="false"/>
          <w:iCs w:val="false"/>
          <w:color w:val="000000"/>
          <w:sz w:val="18"/>
          <w:szCs w:val="18"/>
        </w:rPr>
        <w:t xml:space="preserve">Industrial Inspection  |  </w:t>
      </w:r>
      <w:r>
        <w:rPr>
          <w:rFonts w:ascii="Times New Roman" w:cs="Times New Roman" w:eastAsia="Times New Roman" w:hAnsi="Times New Roman"/>
          <w:b/>
          <w:bCs/>
          <w:i w:val="false"/>
          <w:iCs w:val="false"/>
          <w:color w:val="000000"/>
          <w:sz w:val="18"/>
          <w:szCs w:val="18"/>
        </w:rPr>
        <w:t xml:space="preserve">Group: </w:t>
      </w:r>
      <w:r>
        <w:rPr>
          <w:rFonts w:ascii="Times New Roman" w:cs="Times New Roman" w:eastAsia="Times New Roman" w:hAnsi="Times New Roman"/>
          <w:b w:val="false"/>
          <w:bCs w:val="false"/>
          <w:i w:val="false"/>
          <w:iCs w:val="false"/>
          <w:color w:val="000000"/>
          <w:sz w:val="18"/>
          <w:szCs w:val="18"/>
        </w:rPr>
        <w:t xml:space="preserve">G08</w:t>
      </w:r>
    </w:p>
    <w:p>
      <w:pPr>
        <w:spacing w:after="20" w:before="0" w:line="240"/>
        <w:jc w:val="center"/>
      </w:pPr>
      <w:r>
        <w:rPr>
          <w:rFonts w:ascii="Times New Roman" w:cs="Times New Roman" w:eastAsia="Times New Roman" w:hAnsi="Times New Roman"/>
          <w:b/>
          <w:bCs/>
          <w:i w:val="false"/>
          <w:iCs w:val="false"/>
          <w:color w:val="000000"/>
          <w:sz w:val="18"/>
          <w:szCs w:val="18"/>
        </w:rPr>
        <w:t xml:space="preserve">Title: </w:t>
      </w:r>
      <w:r>
        <w:rPr>
          <w:rFonts w:ascii="Times New Roman" w:cs="Times New Roman" w:eastAsia="Times New Roman" w:hAnsi="Times New Roman"/>
          <w:b w:val="false"/>
          <w:bCs w:val="false"/>
          <w:i w:val="false"/>
          <w:iCs w:val="false"/>
          <w:color w:val="000000"/>
          <w:sz w:val="18"/>
          <w:szCs w:val="18"/>
        </w:rPr>
        <w:t xml:space="preserve">Automated Industrial Surface Defect Detection and Localization Using Deep Anomaly Detection</w:t>
      </w:r>
    </w:p>
    <w:p>
      <w:pPr>
        <w:spacing w:after="40" w:before="0" w:line="240"/>
        <w:jc w:val="center"/>
      </w:pPr>
      <w:r>
        <w:rPr>
          <w:rFonts w:ascii="Times New Roman" w:cs="Times New Roman" w:eastAsia="Times New Roman" w:hAnsi="Times New Roman"/>
          <w:b/>
          <w:bCs/>
          <w:i w:val="false"/>
          <w:iCs w:val="false"/>
          <w:color w:val="000000"/>
          <w:sz w:val="18"/>
          <w:szCs w:val="18"/>
        </w:rPr>
        <w:t xml:space="preserve">Members: </w:t>
      </w:r>
      <w:r>
        <w:rPr>
          <w:rFonts w:ascii="Times New Roman" w:cs="Times New Roman" w:eastAsia="Times New Roman" w:hAnsi="Times New Roman"/>
          <w:b w:val="false"/>
          <w:bCs w:val="false"/>
          <w:i w:val="false"/>
          <w:iCs w:val="false"/>
          <w:color w:val="000000"/>
          <w:sz w:val="18"/>
          <w:szCs w:val="18"/>
        </w:rPr>
        <w:t xml:space="preserve">M.T. Dineth (E/23/076),  H.M.U.A. Perera (E/23/266),  A.W.K.D.A. Alagiyawanna (E/23/012)</w:t>
      </w:r>
    </w:p>
    <w:p>
      <w:pPr>
        <w:pBdr>
          <w:bottom w:val="single" w:color="999999" w:sz="1" w:space="2"/>
        </w:pBdr>
        <w:spacing w:after="40" w:before="60"/>
        <w:jc w:val="left"/>
      </w:pPr>
      <w:r>
        <w:rPr>
          <w:rFonts w:ascii="Times New Roman" w:cs="Times New Roman" w:eastAsia="Times New Roman" w:hAnsi="Times New Roman"/>
          <w:b/>
          <w:bCs/>
          <w:i w:val="false"/>
          <w:iCs w:val="false"/>
          <w:color w:val="000000"/>
          <w:sz w:val="22"/>
          <w:szCs w:val="22"/>
        </w:rPr>
        <w:t xml:space="preserve">1. Problem Statement and Motivation</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Surface defect detection is a critical quality control task in manufacturing. Manual inspection is slow, subjective and error-prone under high-throughput conditions. Automated detection using computer vision can reduce waste, lower costs and improve consistency. However, defective samples are rare in practice, making supervised approaches impractical. Unsupervised anomaly detection addresses this by training only on defect-free images and flagging deviations at test time. This project compares a reconstruction-based baseline (Convolutional Autoencoder) with a feature-embedding method (PatchCore) on the MVTec AD benchmark, covering both detection and pixel-level localization. An explainability layer (Grad-CAM and occlusion sensitivity) will provide interpretable defect attribution.</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2. Related Work</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Bergmann et al. (2021) introduced the MVTec AD dataset with pixel-level masks for 15 industrial categories, establishing the standard anomaly detection benchmark. Reconstruction-based methods such as autoencoders detect anomalies via reconstruction error but struggle on textures (Bergmann et al., 2019). PaDiM (Defard et al., 2021) models pretrained patch features with Gaussian distributions. PatchCore (Roth et al., 2022) uses a coreset-reduced memory bank of pretrained features and achieves near-perfect image AUROC on multiple categories. This project compares reconstruction-based and feature-based approaches and adds quantitative explainability using Grad-CAM (Selvaraju et al., 2017) and occlusion sensitivity (Zeiler and Fergus, 2014).</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3. Dataset</w:t>
      </w:r>
    </w:p>
    <w:p>
      <w:pPr>
        <w:spacing w:after="60" w:before="0" w:line="240"/>
        <w:jc w:val="both"/>
      </w:pPr>
      <w:r>
        <w:rPr>
          <w:rFonts w:ascii="Times New Roman" w:cs="Times New Roman" w:eastAsia="Times New Roman" w:hAnsi="Times New Roman"/>
          <w:b w:val="false"/>
          <w:bCs w:val="false"/>
          <w:i w:val="false"/>
          <w:iCs w:val="false"/>
          <w:color w:val="000000"/>
          <w:sz w:val="20"/>
          <w:szCs w:val="20"/>
        </w:rPr>
        <w:t xml:space="preserve">The MVTec Anomaly Detection dataset (CC BY-NC-SA 4.0) contains 5,000+ high-resolution images across 15 categories. Each category has defect-free training images and test images with pixel-level ground truth masks. Three categories are selected: Bottle and Hazelnut (objects) and Carpet (texture), covering structurally different defect types.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840"/>
      </w:tblGrid>
      <w:tr>
        <w:trPr>
          <w:tblHeader/>
        </w:trPr>
        <w:tc>
          <w:tcPr>
            <w:tcW w:type="dxa" w:w="26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Item</w:t>
            </w:r>
          </w:p>
        </w:tc>
        <w:tc>
          <w:tcPr>
            <w:tcW w:type="dxa" w:w="78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Description</w:t>
            </w:r>
          </w:p>
        </w:tc>
      </w:tr>
      <w:tr>
        <w:tc>
          <w:tcPr>
            <w:tcW w:type="dxa" w:w="2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Source / License</w:t>
            </w:r>
          </w:p>
        </w:tc>
        <w:tc>
          <w:tcPr>
            <w:tcW w:type="dxa" w:w="7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mvtec.com/company/research/datasets/mvtec-ad  |  CC BY-NC-SA 4.0</w:t>
            </w:r>
          </w:p>
        </w:tc>
      </w:tr>
      <w:tr>
        <w:tc>
          <w:tcPr>
            <w:tcW w:type="dxa" w:w="26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Selected Categories</w:t>
            </w:r>
          </w:p>
        </w:tc>
        <w:tc>
          <w:tcPr>
            <w:tcW w:type="dxa" w:w="7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Bottle (object), Hazelnut (object), Carpet (texture)</w:t>
            </w:r>
          </w:p>
        </w:tc>
      </w:tr>
      <w:tr>
        <w:tc>
          <w:tcPr>
            <w:tcW w:type="dxa" w:w="2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Training / Test</w:t>
            </w:r>
          </w:p>
        </w:tc>
        <w:tc>
          <w:tcPr>
            <w:tcW w:type="dxa" w:w="7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Defect-free images only (train) | Normal + defective with pixel masks (test)</w:t>
            </w:r>
          </w:p>
        </w:tc>
      </w:tr>
      <w:tr>
        <w:tc>
          <w:tcPr>
            <w:tcW w:type="dxa" w:w="26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Preprocessing</w:t>
            </w:r>
          </w:p>
        </w:tc>
        <w:tc>
          <w:tcPr>
            <w:tcW w:type="dxa" w:w="7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Resize 256x256, normalize to ImageNet mean/std</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4. Proposed Method</w:t>
      </w:r>
    </w:p>
    <w:p>
      <w:pPr>
        <w:spacing w:after="60" w:before="0" w:line="240"/>
        <w:jc w:val="both"/>
      </w:pPr>
      <w:r>
        <w:rPr>
          <w:rFonts w:ascii="Times New Roman" w:cs="Times New Roman" w:eastAsia="Times New Roman" w:hAnsi="Times New Roman"/>
          <w:b/>
          <w:bCs/>
          <w:i w:val="false"/>
          <w:iCs w:val="false"/>
          <w:color w:val="000000"/>
          <w:sz w:val="20"/>
          <w:szCs w:val="20"/>
        </w:rPr>
        <w:t xml:space="preserve">Baseline - Convolutional Autoencoder: </w:t>
      </w:r>
      <w:r>
        <w:rPr>
          <w:rFonts w:ascii="Times New Roman" w:cs="Times New Roman" w:eastAsia="Times New Roman" w:hAnsi="Times New Roman"/>
          <w:b w:val="false"/>
          <w:bCs w:val="false"/>
          <w:i w:val="false"/>
          <w:iCs w:val="false"/>
          <w:color w:val="000000"/>
          <w:sz w:val="20"/>
          <w:szCs w:val="20"/>
        </w:rPr>
        <w:t xml:space="preserve">Trained on defect-free images to learn normal appearance. Anomalies produce higher reconstruction error (MSE). The per-pixel error is the anomaly map and the image-level maximum error is the anomaly score. </w:t>
      </w:r>
      <w:r>
        <w:rPr>
          <w:rFonts w:ascii="Times New Roman" w:cs="Times New Roman" w:eastAsia="Times New Roman" w:hAnsi="Times New Roman"/>
          <w:b/>
          <w:bCs/>
          <w:i w:val="false"/>
          <w:iCs w:val="false"/>
          <w:color w:val="000000"/>
          <w:sz w:val="20"/>
          <w:szCs w:val="20"/>
        </w:rPr>
        <w:t xml:space="preserve">Improved Method - PatchCore (WideResNet50): </w:t>
      </w:r>
      <w:r>
        <w:rPr>
          <w:rFonts w:ascii="Times New Roman" w:cs="Times New Roman" w:eastAsia="Times New Roman" w:hAnsi="Times New Roman"/>
          <w:b w:val="false"/>
          <w:bCs w:val="false"/>
          <w:i w:val="false"/>
          <w:iCs w:val="false"/>
          <w:color w:val="000000"/>
          <w:sz w:val="20"/>
          <w:szCs w:val="20"/>
        </w:rPr>
        <w:t xml:space="preserve">Extracts patch-level features from a pretrained ImageNet backbone into a coreset-reduced memory bank. Test patches are scored by nearest-neighbour distance to the bank. Requires no gradient-based training on the target data. </w:t>
      </w:r>
      <w:r>
        <w:rPr>
          <w:rFonts w:ascii="Times New Roman" w:cs="Times New Roman" w:eastAsia="Times New Roman" w:hAnsi="Times New Roman"/>
          <w:b/>
          <w:bCs/>
          <w:i w:val="false"/>
          <w:iCs w:val="false"/>
          <w:color w:val="000000"/>
          <w:sz w:val="20"/>
          <w:szCs w:val="20"/>
        </w:rPr>
        <w:t xml:space="preserve">Explainability: </w:t>
      </w:r>
      <w:r>
        <w:rPr>
          <w:rFonts w:ascii="Times New Roman" w:cs="Times New Roman" w:eastAsia="Times New Roman" w:hAnsi="Times New Roman"/>
          <w:b w:val="false"/>
          <w:bCs w:val="false"/>
          <w:i w:val="false"/>
          <w:iCs w:val="false"/>
          <w:color w:val="000000"/>
          <w:sz w:val="20"/>
          <w:szCs w:val="20"/>
        </w:rPr>
        <w:t xml:space="preserve">Grad-CAM for the autoencoder (gradients accessible) and occlusion sensitivity for PatchCore (anomalib disables gradients internally). Both are quantitatively scored against ground truth masks.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220"/>
        <w:gridCol w:w="4220"/>
      </w:tblGrid>
      <w:tr>
        <w:trPr>
          <w:tblHeader/>
        </w:trPr>
        <w:tc>
          <w:tcPr>
            <w:tcW w:type="dxa" w:w="20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Aspect</w:t>
            </w:r>
          </w:p>
        </w:tc>
        <w:tc>
          <w:tcPr>
            <w:tcW w:type="dxa" w:w="422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Baseline (Autoencoder)</w:t>
            </w:r>
          </w:p>
        </w:tc>
        <w:tc>
          <w:tcPr>
            <w:tcW w:type="dxa" w:w="422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Improved (PatchCore)</w:t>
            </w:r>
          </w:p>
        </w:tc>
      </w:tr>
      <w:tr>
        <w:tc>
          <w:tcPr>
            <w:tcW w:type="dxa" w:w="2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Features</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Learned from scratch</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Pretrained ImageNet (WideResNet50)</w:t>
            </w:r>
          </w:p>
        </w:tc>
      </w:tr>
      <w:tr>
        <w:tc>
          <w:tcPr>
            <w:tcW w:type="dxa" w:w="2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Anomaly Signal</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Reconstruction error (MSE)</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Nearest-neighbour distance in feature space</w:t>
            </w:r>
          </w:p>
        </w:tc>
      </w:tr>
      <w:tr>
        <w:tc>
          <w:tcPr>
            <w:tcW w:type="dxa" w:w="2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Training</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Gradient-based (~100 epochs)</w:t>
            </w:r>
          </w:p>
        </w:tc>
        <w:tc>
          <w:tcPr>
            <w:tcW w:type="dxa" w:w="422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Memory bank construction (no training)</w:t>
            </w:r>
          </w:p>
        </w:tc>
      </w:tr>
      <w:tr>
        <w:tc>
          <w:tcPr>
            <w:tcW w:type="dxa" w:w="2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Explainability</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Grad-CAM</w:t>
            </w:r>
          </w:p>
        </w:tc>
        <w:tc>
          <w:tcPr>
            <w:tcW w:type="dxa" w:w="422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Occlusion sensitivity</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5. Evaluation Plan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900"/>
        <w:gridCol w:w="6740"/>
      </w:tblGrid>
      <w:tr>
        <w:trPr>
          <w:tblHeader/>
        </w:trPr>
        <w:tc>
          <w:tcPr>
            <w:tcW w:type="dxa" w:w="28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Metric</w:t>
            </w:r>
          </w:p>
        </w:tc>
        <w:tc>
          <w:tcPr>
            <w:tcW w:type="dxa" w:w="9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Level</w:t>
            </w:r>
          </w:p>
        </w:tc>
        <w:tc>
          <w:tcPr>
            <w:tcW w:type="dxa" w:w="67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Purpose</w:t>
            </w:r>
          </w:p>
        </w:tc>
      </w:tr>
      <w:tr>
        <w:tc>
          <w:tcPr>
            <w:tcW w:type="dxa" w:w="28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Image AUROC</w:t>
            </w:r>
          </w:p>
        </w:tc>
        <w:tc>
          <w:tcPr>
            <w:tcW w:type="dxa" w:w="9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Image</w:t>
            </w:r>
          </w:p>
        </w:tc>
        <w:tc>
          <w:tcPr>
            <w:tcW w:type="dxa" w:w="67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Binary classification: normal vs. defective</w:t>
            </w:r>
          </w:p>
        </w:tc>
      </w:tr>
      <w:tr>
        <w:tc>
          <w:tcPr>
            <w:tcW w:type="dxa" w:w="28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Pixel AUROC</w:t>
            </w:r>
          </w:p>
        </w:tc>
        <w:tc>
          <w:tcPr>
            <w:tcW w:type="dxa" w:w="9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Pixel</w:t>
            </w:r>
          </w:p>
        </w:tc>
        <w:tc>
          <w:tcPr>
            <w:tcW w:type="dxa" w:w="67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Per-pixel localization quality</w:t>
            </w:r>
          </w:p>
        </w:tc>
      </w:tr>
      <w:tr>
        <w:tc>
          <w:tcPr>
            <w:tcW w:type="dxa" w:w="28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Per-Region Overlap (PRO)</w:t>
            </w:r>
          </w:p>
        </w:tc>
        <w:tc>
          <w:tcPr>
            <w:tcW w:type="dxa" w:w="9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Pixel</w:t>
            </w:r>
          </w:p>
        </w:tc>
        <w:tc>
          <w:tcPr>
            <w:tcW w:type="dxa" w:w="67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Size-balanced localization evaluation</w:t>
            </w:r>
          </w:p>
        </w:tc>
      </w:tr>
      <w:tr>
        <w:tc>
          <w:tcPr>
            <w:tcW w:type="dxa" w:w="28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Pointing Game Accuracy</w:t>
            </w:r>
          </w:p>
        </w:tc>
        <w:tc>
          <w:tcPr>
            <w:tcW w:type="dxa" w:w="9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XAI</w:t>
            </w:r>
          </w:p>
        </w:tc>
        <w:tc>
          <w:tcPr>
            <w:tcW w:type="dxa" w:w="67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Highest-attribution pixel inside defect region</w:t>
            </w:r>
          </w:p>
        </w:tc>
      </w:tr>
      <w:tr>
        <w:tc>
          <w:tcPr>
            <w:tcW w:type="dxa" w:w="28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Top-5% IoU</w:t>
            </w:r>
          </w:p>
        </w:tc>
        <w:tc>
          <w:tcPr>
            <w:tcW w:type="dxa" w:w="9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XAI</w:t>
            </w:r>
          </w:p>
        </w:tc>
        <w:tc>
          <w:tcPr>
            <w:tcW w:type="dxa" w:w="67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Overlap of top 5% attribution pixels with ground truth</w:t>
            </w:r>
          </w:p>
        </w:tc>
      </w:tr>
    </w:tbl>
    <w:p>
      <w:pPr>
        <w:spacing w:after="60" w:before="40" w:line="240"/>
        <w:jc w:val="both"/>
      </w:pPr>
      <w:r>
        <w:rPr>
          <w:rFonts w:ascii="Times New Roman" w:cs="Times New Roman" w:eastAsia="Times New Roman" w:hAnsi="Times New Roman"/>
          <w:b w:val="false"/>
          <w:bCs w:val="false"/>
          <w:i w:val="false"/>
          <w:iCs w:val="false"/>
          <w:color w:val="000000"/>
          <w:sz w:val="20"/>
          <w:szCs w:val="20"/>
        </w:rPr>
        <w:t xml:space="preserve">An ablation comparing ResNet18 vs. WideResNet50 backbones will analyze the localization-vs-speed trade-off. Qualitative outputs (heatmaps, predicted masks, failure cases) will also be produced.</w:t>
      </w:r>
    </w:p>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6. Project Goals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840"/>
      </w:tblGrid>
      <w:tr>
        <w:trPr>
          <w:tblHeader/>
        </w:trPr>
        <w:tc>
          <w:tcPr>
            <w:tcW w:type="dxa" w:w="16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Level</w:t>
            </w:r>
          </w:p>
        </w:tc>
        <w:tc>
          <w:tcPr>
            <w:tcW w:type="dxa" w:w="88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Description</w:t>
            </w:r>
          </w:p>
        </w:tc>
      </w:tr>
      <w:tr>
        <w:tc>
          <w:tcPr>
            <w:tcW w:type="dxa" w:w="1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Minimum</w:t>
            </w:r>
          </w:p>
        </w:tc>
        <w:tc>
          <w:tcPr>
            <w:tcW w:type="dxa" w:w="8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Autoencoder baseline on Bottle. Report Image AUROC and Pixel AUROC with basic heatmaps.</w:t>
            </w:r>
          </w:p>
        </w:tc>
      </w:tr>
      <w:tr>
        <w:tc>
          <w:tcPr>
            <w:tcW w:type="dxa" w:w="16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Expected</w:t>
            </w:r>
          </w:p>
        </w:tc>
        <w:tc>
          <w:tcPr>
            <w:tcW w:type="dxa" w:w="8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Both methods on all 3 categories. All 5 metrics. Backbone ablation. Explainability analysis.</w:t>
            </w:r>
          </w:p>
        </w:tc>
      </w:tr>
      <w:tr>
        <w:tc>
          <w:tcPr>
            <w:tcW w:type="dxa" w:w="16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Stretch</w:t>
            </w:r>
          </w:p>
        </w:tc>
        <w:tc>
          <w:tcPr>
            <w:tcW w:type="dxa" w:w="8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Additional MVTec AD categories. Real-time inference demo. Lightweight deployment model.</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7. Timeline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5840"/>
        <w:gridCol w:w="2200"/>
      </w:tblGrid>
      <w:tr>
        <w:trPr>
          <w:tblHeader/>
        </w:trPr>
        <w:tc>
          <w:tcPr>
            <w:tcW w:type="dxa" w:w="7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Week</w:t>
            </w:r>
          </w:p>
        </w:tc>
        <w:tc>
          <w:tcPr>
            <w:tcW w:type="dxa" w:w="17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Period</w:t>
            </w:r>
          </w:p>
        </w:tc>
        <w:tc>
          <w:tcPr>
            <w:tcW w:type="dxa" w:w="58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Tasks</w:t>
            </w:r>
          </w:p>
        </w:tc>
        <w:tc>
          <w:tcPr>
            <w:tcW w:type="dxa" w:w="22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Milestone</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1-7 Jul</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Group formation, topic registration, GitHub setup</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M0</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8-14 Jul</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Finalize proposal, begin dataset download and EDA</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M1</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3-4</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15-28 Jul</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Preprocess MVTec AD, implement and evaluate autoencoder baseline</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M2</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5-6</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29 Jul-11 Aug</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Implement PatchCore, run on all categories, compute metrics</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7</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12-18 Aug</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Ablation study, implement Grad-CAM and occlusion sensitivity</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M3</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8</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19-25 Aug</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Complete experiments, generate qualitative outputs, finalize tables</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M4</w:t>
            </w:r>
          </w:p>
        </w:tc>
      </w:tr>
      <w:tr>
        <w:tc>
          <w:tcPr>
            <w:tcW w:type="dxa" w:w="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9</w:t>
            </w:r>
          </w:p>
        </w:tc>
        <w:tc>
          <w:tcPr>
            <w:tcW w:type="dxa" w:w="17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26 Aug-1 Sep</w:t>
            </w:r>
          </w:p>
        </w:tc>
        <w:tc>
          <w:tcPr>
            <w:tcW w:type="dxa" w:w="58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Write IEEE report, clean repository, prepare demo</w:t>
            </w:r>
          </w:p>
        </w:tc>
        <w:tc>
          <w:tcPr>
            <w:tcW w:type="dxa" w:w="2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M5</w:t>
            </w:r>
          </w:p>
        </w:tc>
      </w:tr>
      <w:tr>
        <w:tc>
          <w:tcPr>
            <w:tcW w:type="dxa" w:w="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10</w:t>
            </w:r>
          </w:p>
        </w:tc>
        <w:tc>
          <w:tcPr>
            <w:tcW w:type="dxa" w:w="17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2-7 Sep</w:t>
            </w:r>
          </w:p>
        </w:tc>
        <w:tc>
          <w:tcPr>
            <w:tcW w:type="dxa" w:w="58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Final submission, presentation slides, demonstration</w:t>
            </w:r>
          </w:p>
        </w:tc>
        <w:tc>
          <w:tcPr>
            <w:tcW w:type="dxa" w:w="2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M6</w:t>
            </w:r>
          </w:p>
        </w:tc>
      </w:tr>
    </w:tbl>
    <w:p>
      <w:pPr>
        <w:pBdr>
          <w:bottom w:val="single" w:color="999999" w:sz="1" w:space="2"/>
        </w:pBdr>
        <w:spacing w:after="40" w:before="140"/>
        <w:jc w:val="left"/>
      </w:pPr>
      <w:r>
        <w:rPr>
          <w:rFonts w:ascii="Times New Roman" w:cs="Times New Roman" w:eastAsia="Times New Roman" w:hAnsi="Times New Roman"/>
          <w:b/>
          <w:bCs/>
          <w:i w:val="false"/>
          <w:iCs w:val="false"/>
          <w:color w:val="000000"/>
          <w:sz w:val="22"/>
          <w:szCs w:val="22"/>
        </w:rPr>
        <w:t xml:space="preserve">8. Risk Assessment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00"/>
        <w:gridCol w:w="6240"/>
      </w:tblGrid>
      <w:tr>
        <w:trPr>
          <w:tblHeader/>
        </w:trPr>
        <w:tc>
          <w:tcPr>
            <w:tcW w:type="dxa" w:w="32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Risk</w:t>
            </w:r>
          </w:p>
        </w:tc>
        <w:tc>
          <w:tcPr>
            <w:tcW w:type="dxa" w:w="100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Impact</w:t>
            </w:r>
          </w:p>
        </w:tc>
        <w:tc>
          <w:tcPr>
            <w:tcW w:type="dxa" w:w="6240"/>
            <w:shd w:fill="2E5A88" w:color="2E5A88" w:val="clear"/>
            <w:tcMar>
              <w:top w:type="dxa" w:w="20"/>
              <w:left w:type="dxa" w:w="60"/>
              <w:bottom w:type="dxa" w:w="20"/>
              <w:right w:type="dxa" w:w="60"/>
            </w:tcMar>
          </w:tcPr>
          <w:p>
            <w:pPr>
              <w:spacing w:after="20" w:before="20"/>
              <w:jc w:val="left"/>
            </w:pPr>
            <w:r>
              <w:rPr>
                <w:rFonts w:ascii="Times New Roman" w:cs="Times New Roman" w:eastAsia="Times New Roman" w:hAnsi="Times New Roman"/>
                <w:b/>
                <w:bCs/>
                <w:i w:val="false"/>
                <w:iCs w:val="false"/>
                <w:color w:val="FFFFFF"/>
                <w:sz w:val="18"/>
                <w:szCs w:val="18"/>
              </w:rPr>
              <w:t xml:space="preserve">Mitigation</w:t>
            </w:r>
          </w:p>
        </w:tc>
      </w:tr>
      <w:tr>
        <w:tc>
          <w:tcPr>
            <w:tcW w:type="dxa" w:w="3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GPU memory insufficient for WideResNet50</w:t>
            </w:r>
          </w:p>
        </w:tc>
        <w:tc>
          <w:tcPr>
            <w:tcW w:type="dxa" w:w="1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Medium</w:t>
            </w:r>
          </w:p>
        </w:tc>
        <w:tc>
          <w:tcPr>
            <w:tcW w:type="dxa" w:w="62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Fall back to ResNet18; use CPU with longer runtime</w:t>
            </w:r>
          </w:p>
        </w:tc>
      </w:tr>
      <w:tr>
        <w:tc>
          <w:tcPr>
            <w:tcW w:type="dxa" w:w="3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Autoencoder fails on texture categories</w:t>
            </w:r>
          </w:p>
        </w:tc>
        <w:tc>
          <w:tcPr>
            <w:tcW w:type="dxa" w:w="1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High</w:t>
            </w:r>
          </w:p>
        </w:tc>
        <w:tc>
          <w:tcPr>
            <w:tcW w:type="dxa" w:w="62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Expected per literature; document as finding and analyze why</w:t>
            </w:r>
          </w:p>
        </w:tc>
      </w:tr>
      <w:tr>
        <w:tc>
          <w:tcPr>
            <w:tcW w:type="dxa" w:w="3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PatchCore memory bank exceeds RAM</w:t>
            </w:r>
          </w:p>
        </w:tc>
        <w:tc>
          <w:tcPr>
            <w:tcW w:type="dxa" w:w="1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Medium</w:t>
            </w:r>
          </w:p>
        </w:tc>
        <w:tc>
          <w:tcPr>
            <w:tcW w:type="dxa" w:w="62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Reduce coreset percentage (built into anomalib)</w:t>
            </w:r>
          </w:p>
        </w:tc>
      </w:tr>
      <w:tr>
        <w:tc>
          <w:tcPr>
            <w:tcW w:type="dxa" w:w="32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Explainability produces poor localization</w:t>
            </w:r>
          </w:p>
        </w:tc>
        <w:tc>
          <w:tcPr>
            <w:tcW w:type="dxa" w:w="100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Medium</w:t>
            </w:r>
          </w:p>
        </w:tc>
        <w:tc>
          <w:tcPr>
            <w:tcW w:type="dxa" w:w="6240"/>
            <w:shd w:fill="F0F4F8" w:color="F0F4F8" w:val="clear"/>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Analyze failure modes; compare multiple occlusion patch sizes</w:t>
            </w:r>
          </w:p>
        </w:tc>
      </w:tr>
      <w:tr>
        <w:tc>
          <w:tcPr>
            <w:tcW w:type="dxa" w:w="32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Team member unavailability</w:t>
            </w:r>
          </w:p>
        </w:tc>
        <w:tc>
          <w:tcPr>
            <w:tcW w:type="dxa" w:w="100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Low</w:t>
            </w:r>
          </w:p>
        </w:tc>
        <w:tc>
          <w:tcPr>
            <w:tcW w:type="dxa" w:w="6240"/>
            <w:tcMar>
              <w:top w:type="dxa" w:w="20"/>
              <w:left w:type="dxa" w:w="60"/>
              <w:bottom w:type="dxa" w:w="20"/>
              <w:right w:type="dxa" w:w="60"/>
            </w:tcMar>
          </w:tcPr>
          <w:p>
            <w:pPr>
              <w:spacing w:after="20" w:before="20"/>
              <w:jc w:val="left"/>
            </w:pPr>
            <w:r>
              <w:rPr>
                <w:rFonts w:ascii="Times New Roman" w:cs="Times New Roman" w:eastAsia="Times New Roman" w:hAnsi="Times New Roman"/>
                <w:b w:val="false"/>
                <w:bCs w:val="false"/>
                <w:i w:val="false"/>
                <w:iCs w:val="false"/>
                <w:color w:val="000000"/>
                <w:sz w:val="18"/>
                <w:szCs w:val="18"/>
              </w:rPr>
              <w:t xml:space="preserve">Clear task division; shared repo; weekly sync</w:t>
            </w:r>
          </w:p>
        </w:tc>
      </w:tr>
    </w:tbl>
    <w:p>
      <w:pPr>
        <w:spacing w:after="30" w:before="140" w:line="240"/>
        <w:jc w:val="left"/>
      </w:pPr>
      <w:r>
        <w:rPr>
          <w:rFonts w:ascii="Times New Roman" w:cs="Times New Roman" w:eastAsia="Times New Roman" w:hAnsi="Times New Roman"/>
          <w:b/>
          <w:bCs/>
          <w:i w:val="false"/>
          <w:iCs w:val="false"/>
          <w:color w:val="000000"/>
          <w:sz w:val="22"/>
          <w:szCs w:val="22"/>
        </w:rPr>
        <w:t xml:space="preserve">References</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[1] P. Bergmann et al., "The MVTec Anomaly Detection Dataset," IJCV, vol. 129, pp. 1038-1059, 2021.</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[2] K. Roth et al., "Towards Total Recall in Industrial Anomaly Detection," CVPR, 2022.</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[3] T. Defard et al., "PaDiM: A Patch Distribution Modeling Framework for Anomaly Detection," ICPR, 2021.</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[4] R. R. Selvaraju et al., "Grad-CAM: Visual Explanations from Deep Networks," ICCV, 2017.</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[5] M. D. Zeiler and R. Fergus, "Visualizing and Understanding Convolutional Networks," ECCV, 2014.</w:t>
      </w:r>
    </w:p>
    <w:p>
      <w:pPr>
        <w:spacing w:after="15" w:before="0" w:line="240"/>
        <w:jc w:val="both"/>
      </w:pPr>
      <w:r>
        <w:rPr>
          <w:rFonts w:ascii="Times New Roman" w:cs="Times New Roman" w:eastAsia="Times New Roman" w:hAnsi="Times New Roman"/>
          <w:b w:val="false"/>
          <w:bCs w:val="false"/>
          <w:i w:val="false"/>
          <w:iCs w:val="false"/>
          <w:color w:val="000000"/>
          <w:sz w:val="18"/>
          <w:szCs w:val="18"/>
        </w:rPr>
        <w:t xml:space="preserve">[6] P. Bergmann et al., "Improving Unsupervised Defect Segmentation by Applying Structural Similarity to Autoencoders," VISIGRAPP, 2019.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pPr>
        <w:spacing w:after="60" w:line="24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2026-07-12T18:42:51.197Z</dcterms:created>
  <dcterms:modified xsi:type="dcterms:W3CDTF">2026-07-12T18:42:51.198Z</dcterms:modified>
</cp:coreProperties>
</file>

<file path=docProps/custom.xml><?xml version="1.0" encoding="utf-8"?>
<Properties xmlns="http://schemas.openxmlformats.org/officeDocument/2006/custom-properties" xmlns:vt="http://schemas.openxmlformats.org/officeDocument/2006/docPropsVTypes"/>
</file>