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Times New Roman" w:cs="Times New Roman" w:eastAsia="Times New Roman" w:hAnsi="Times New Roman"/>
          <w:b/>
          <w:bCs/>
          <w:i w:val="false"/>
          <w:iCs w:val="false"/>
          <w:color w:val="000000"/>
          <w:sz w:val="26"/>
          <w:szCs w:val="26"/>
        </w:rPr>
        <w:t xml:space="preserve">CO543/CO5430 Computer Vision Project Proposal - 2026</w:t>
      </w:r>
    </w:p>
    <w:p>
      <w:pPr>
        <w:spacing w:after="20" w:before="0" w:line="240"/>
        <w:jc w:val="center"/>
      </w:pPr>
      <w:r>
        <w:rPr>
          <w:rFonts w:ascii="Times New Roman" w:cs="Times New Roman" w:eastAsia="Times New Roman" w:hAnsi="Times New Roman"/>
          <w:b/>
          <w:bCs/>
          <w:i w:val="false"/>
          <w:iCs w:val="false"/>
          <w:color w:val="000000"/>
          <w:sz w:val="18"/>
          <w:szCs w:val="18"/>
        </w:rPr>
        <w:t xml:space="preserve">Project ID: </w:t>
      </w:r>
      <w:r>
        <w:rPr>
          <w:rFonts w:ascii="Times New Roman" w:cs="Times New Roman" w:eastAsia="Times New Roman" w:hAnsi="Times New Roman"/>
          <w:b w:val="false"/>
          <w:bCs w:val="false"/>
          <w:i w:val="false"/>
          <w:iCs w:val="false"/>
          <w:color w:val="000000"/>
          <w:sz w:val="18"/>
          <w:szCs w:val="18"/>
        </w:rPr>
        <w:t xml:space="preserve">P17  |  </w:t>
      </w:r>
      <w:r>
        <w:rPr>
          <w:rFonts w:ascii="Times New Roman" w:cs="Times New Roman" w:eastAsia="Times New Roman" w:hAnsi="Times New Roman"/>
          <w:b/>
          <w:bCs/>
          <w:i w:val="false"/>
          <w:iCs w:val="false"/>
          <w:color w:val="000000"/>
          <w:sz w:val="18"/>
          <w:szCs w:val="18"/>
        </w:rPr>
        <w:t xml:space="preserve">Category: </w:t>
      </w:r>
      <w:r>
        <w:rPr>
          <w:rFonts w:ascii="Times New Roman" w:cs="Times New Roman" w:eastAsia="Times New Roman" w:hAnsi="Times New Roman"/>
          <w:b w:val="false"/>
          <w:bCs w:val="false"/>
          <w:i w:val="false"/>
          <w:iCs w:val="false"/>
          <w:color w:val="000000"/>
          <w:sz w:val="18"/>
          <w:szCs w:val="18"/>
        </w:rPr>
        <w:t xml:space="preserve">Industrial Inspection  |  </w:t>
      </w:r>
      <w:r>
        <w:rPr>
          <w:rFonts w:ascii="Times New Roman" w:cs="Times New Roman" w:eastAsia="Times New Roman" w:hAnsi="Times New Roman"/>
          <w:b/>
          <w:bCs/>
          <w:i w:val="false"/>
          <w:iCs w:val="false"/>
          <w:color w:val="000000"/>
          <w:sz w:val="18"/>
          <w:szCs w:val="18"/>
        </w:rPr>
        <w:t xml:space="preserve">Group: </w:t>
      </w:r>
      <w:r>
        <w:rPr>
          <w:rFonts w:ascii="Times New Roman" w:cs="Times New Roman" w:eastAsia="Times New Roman" w:hAnsi="Times New Roman"/>
          <w:b w:val="false"/>
          <w:bCs w:val="false"/>
          <w:i w:val="false"/>
          <w:iCs w:val="false"/>
          <w:color w:val="000000"/>
          <w:sz w:val="18"/>
          <w:szCs w:val="18"/>
        </w:rPr>
        <w:t xml:space="preserve">G08</w:t>
      </w:r>
    </w:p>
    <w:p>
      <w:pPr>
        <w:spacing w:after="20" w:before="0" w:line="240"/>
        <w:jc w:val="center"/>
      </w:pPr>
      <w:r>
        <w:rPr>
          <w:rFonts w:ascii="Times New Roman" w:cs="Times New Roman" w:eastAsia="Times New Roman" w:hAnsi="Times New Roman"/>
          <w:b/>
          <w:bCs/>
          <w:i w:val="false"/>
          <w:iCs w:val="false"/>
          <w:color w:val="000000"/>
          <w:sz w:val="18"/>
          <w:szCs w:val="18"/>
        </w:rPr>
        <w:t xml:space="preserve">Title: </w:t>
      </w:r>
      <w:r>
        <w:rPr>
          <w:rFonts w:ascii="Times New Roman" w:cs="Times New Roman" w:eastAsia="Times New Roman" w:hAnsi="Times New Roman"/>
          <w:b w:val="false"/>
          <w:bCs w:val="false"/>
          <w:i w:val="false"/>
          <w:iCs w:val="false"/>
          <w:color w:val="000000"/>
          <w:sz w:val="18"/>
          <w:szCs w:val="18"/>
        </w:rPr>
        <w:t xml:space="preserve">Automated Industrial Surface Defect Detection and Localization Using Deep Anomaly Detection</w:t>
      </w:r>
    </w:p>
    <w:p>
      <w:pPr>
        <w:spacing w:after="40" w:before="0" w:line="240"/>
        <w:jc w:val="center"/>
      </w:pPr>
      <w:r>
        <w:rPr>
          <w:rFonts w:ascii="Times New Roman" w:cs="Times New Roman" w:eastAsia="Times New Roman" w:hAnsi="Times New Roman"/>
          <w:b/>
          <w:bCs/>
          <w:i w:val="false"/>
          <w:iCs w:val="false"/>
          <w:color w:val="000000"/>
          <w:sz w:val="18"/>
          <w:szCs w:val="18"/>
        </w:rPr>
        <w:t xml:space="preserve">Members: </w:t>
      </w:r>
      <w:r>
        <w:rPr>
          <w:rFonts w:ascii="Times New Roman" w:cs="Times New Roman" w:eastAsia="Times New Roman" w:hAnsi="Times New Roman"/>
          <w:b w:val="false"/>
          <w:bCs w:val="false"/>
          <w:i w:val="false"/>
          <w:iCs w:val="false"/>
          <w:color w:val="000000"/>
          <w:sz w:val="18"/>
          <w:szCs w:val="18"/>
        </w:rPr>
        <w:t xml:space="preserve">M.T. Dineth (E/23/076),  H.M.U.A. Perera (E/23/266),  A.W.K.D.A. Alagiyawanna (E/23/012)</w:t>
      </w:r>
    </w:p>
    <w:p>
      <w:pPr>
        <w:pBdr>
          <w:bottom w:val="single" w:color="999999" w:sz="1" w:space="2"/>
        </w:pBdr>
        <w:spacing w:after="40" w:before="60"/>
        <w:jc w:val="left"/>
      </w:pPr>
      <w:r>
        <w:rPr>
          <w:rFonts w:ascii="Times New Roman" w:cs="Times New Roman" w:eastAsia="Times New Roman" w:hAnsi="Times New Roman"/>
          <w:b/>
          <w:bCs/>
          <w:i w:val="false"/>
          <w:iCs w:val="false"/>
          <w:color w:val="000000"/>
          <w:sz w:val="22"/>
          <w:szCs w:val="22"/>
        </w:rPr>
        <w:t xml:space="preserve">1. Problem Statement and Motivation</w:t>
      </w:r>
    </w:p>
    <w:p>
      <w:pPr>
        <w:spacing w:after="60" w:before="0" w:line="240"/>
        <w:jc w:val="both"/>
      </w:pPr>
      <w:r>
        <w:rPr>
          <w:rFonts w:ascii="Times New Roman" w:cs="Times New Roman" w:eastAsia="Times New Roman" w:hAnsi="Times New Roman"/>
          <w:b w:val="false"/>
          <w:bCs w:val="false"/>
          <w:i w:val="false"/>
          <w:iCs w:val="false"/>
          <w:color w:val="000000"/>
          <w:sz w:val="20"/>
          <w:szCs w:val="20"/>
        </w:rPr>
        <w:t xml:space="preserve">Surface defect detection is a critical quality control task in manufacturing. Manual inspection is slow, subjective and error-prone under high-throughput conditions. Automated detection using computer vision can reduce waste, lower costs and improve consistency. However, defective samples are rare in practice, making supervised approaches impractical. Unsupervised anomaly detection addresses this by training only on defect-free images and flagging deviations at test time. This project compares a reconstruction-based baseline (Convolutional Autoencoder) with a feature-embedding method (PatchCore) on the MVTec AD benchmark, covering both detection and pixel-level localization. An explainability layer (Grad-CAM and occlusion sensitivity) will provide interpretable defect attribution.</w:t>
      </w:r>
    </w:p>
    <w:p>
      <w:pPr>
        <w:pBdr>
          <w:bottom w:val="single" w:color="999999" w:sz="1" w:space="2"/>
        </w:pBdr>
        <w:spacing w:after="40" w:before="140"/>
        <w:jc w:val="left"/>
      </w:pPr>
      <w:r>
        <w:rPr>
          <w:rFonts w:ascii="Times New Roman" w:cs="Times New Roman" w:eastAsia="Times New Roman" w:hAnsi="Times New Roman"/>
          <w:b/>
          <w:bCs/>
          <w:i w:val="false"/>
          <w:iCs w:val="false"/>
          <w:color w:val="000000"/>
          <w:sz w:val="22"/>
          <w:szCs w:val="22"/>
        </w:rPr>
        <w:t xml:space="preserve">2. Related Work</w:t>
      </w:r>
    </w:p>
    <w:p>
      <w:pPr>
        <w:spacing w:after="60" w:before="0" w:line="240"/>
        <w:jc w:val="both"/>
      </w:pPr>
      <w:r>
        <w:rPr>
          <w:rFonts w:ascii="Times New Roman" w:cs="Times New Roman" w:eastAsia="Times New Roman" w:hAnsi="Times New Roman"/>
          <w:b w:val="false"/>
          <w:bCs w:val="false"/>
          <w:i w:val="false"/>
          <w:iCs w:val="false"/>
          <w:color w:val="000000"/>
          <w:sz w:val="20"/>
          <w:szCs w:val="20"/>
        </w:rPr>
        <w:t xml:space="preserve">Bergmann et al. (2021) introduced the MVTec AD dataset with pixel-level masks for 15 industrial categories, establishing the standard anomaly detection benchmark. Reconstruction-based methods such as autoencoders detect anomalies via reconstruction error but struggle on textures (Bergmann et al., 2019). PaDiM (Defard et al., 2021) models pretrained patch features with Gaussian distributions. PatchCore (Roth et al., 2022) uses a coreset-reduced memory bank of pretrained features and achieves near-perfect image AUROC on multiple categories. This project compares reconstruction-based and feature-based approaches and adds quantitative explainability using Grad-CAM (Selvaraju et al., 2017) and occlusion sensitivity (Zeiler and Fergus, 2014).</w:t>
      </w:r>
    </w:p>
    <w:p>
      <w:pPr>
        <w:pBdr>
          <w:bottom w:val="single" w:color="999999" w:sz="1" w:space="2"/>
        </w:pBdr>
        <w:spacing w:after="40" w:before="140"/>
        <w:jc w:val="left"/>
      </w:pPr>
      <w:r>
        <w:rPr>
          <w:rFonts w:ascii="Times New Roman" w:cs="Times New Roman" w:eastAsia="Times New Roman" w:hAnsi="Times New Roman"/>
          <w:b/>
          <w:bCs/>
          <w:i w:val="false"/>
          <w:iCs w:val="false"/>
          <w:color w:val="000000"/>
          <w:sz w:val="22"/>
          <w:szCs w:val="22"/>
        </w:rPr>
        <w:t xml:space="preserve">3. Dataset</w:t>
      </w:r>
    </w:p>
    <w:p>
      <w:pPr>
        <w:spacing w:after="60" w:before="0" w:line="240"/>
        <w:jc w:val="both"/>
      </w:pPr>
      <w:r>
        <w:rPr>
          <w:rFonts w:ascii="Times New Roman" w:cs="Times New Roman" w:eastAsia="Times New Roman" w:hAnsi="Times New Roman"/>
          <w:b w:val="false"/>
          <w:bCs w:val="false"/>
          <w:i w:val="false"/>
          <w:iCs w:val="false"/>
          <w:color w:val="000000"/>
          <w:sz w:val="20"/>
          <w:szCs w:val="20"/>
        </w:rPr>
        <w:t xml:space="preserve">The MVTec Anomaly Detection dataset (CC BY-NC-SA 4.0) contains 5,000+ high-resolution images across 15 categories. Each category has defect-free training images and test images with pixel-level ground truth masks. Three categories are selected: Bottle and Hazelnut (objects) and Carpet (texture), covering structurally different defect types.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840"/>
      </w:tblGrid>
      <w:tr>
        <w:trPr>
          <w:tblHeader/>
        </w:trPr>
        <w:tc>
          <w:tcPr>
            <w:tcW w:type="dxa" w:w="260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Item</w:t>
            </w:r>
          </w:p>
        </w:tc>
        <w:tc>
          <w:tcPr>
            <w:tcW w:type="dxa" w:w="784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Description</w:t>
            </w:r>
          </w:p>
        </w:tc>
      </w:tr>
      <w:tr>
        <w:tc>
          <w:tcPr>
            <w:tcW w:type="dxa" w:w="26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Source / License</w:t>
            </w:r>
          </w:p>
        </w:tc>
        <w:tc>
          <w:tcPr>
            <w:tcW w:type="dxa" w:w="78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mvtec.com/company/research/datasets/mvtec-ad  |  CC BY-NC-SA 4.0</w:t>
            </w:r>
          </w:p>
        </w:tc>
      </w:tr>
      <w:tr>
        <w:tc>
          <w:tcPr>
            <w:tcW w:type="dxa" w:w="26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Selected Categories</w:t>
            </w:r>
          </w:p>
        </w:tc>
        <w:tc>
          <w:tcPr>
            <w:tcW w:type="dxa" w:w="784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Bottle (object), Hazelnut (object), Carpet (texture)</w:t>
            </w:r>
          </w:p>
        </w:tc>
      </w:tr>
      <w:tr>
        <w:tc>
          <w:tcPr>
            <w:tcW w:type="dxa" w:w="26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Training / Test</w:t>
            </w:r>
          </w:p>
        </w:tc>
        <w:tc>
          <w:tcPr>
            <w:tcW w:type="dxa" w:w="78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Defect-free images only (train) | Normal + defective with pixel masks (test)</w:t>
            </w:r>
          </w:p>
        </w:tc>
      </w:tr>
      <w:tr>
        <w:tc>
          <w:tcPr>
            <w:tcW w:type="dxa" w:w="26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Preprocessing</w:t>
            </w:r>
          </w:p>
        </w:tc>
        <w:tc>
          <w:tcPr>
            <w:tcW w:type="dxa" w:w="784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Resize 256x256, normalize to ImageNet mean/std</w:t>
            </w:r>
          </w:p>
        </w:tc>
      </w:tr>
    </w:tbl>
    <w:p>
      <w:pPr>
        <w:pBdr>
          <w:bottom w:val="single" w:color="999999" w:sz="1" w:space="2"/>
        </w:pBdr>
        <w:spacing w:after="40" w:before="140"/>
        <w:jc w:val="left"/>
      </w:pPr>
      <w:r>
        <w:rPr>
          <w:rFonts w:ascii="Times New Roman" w:cs="Times New Roman" w:eastAsia="Times New Roman" w:hAnsi="Times New Roman"/>
          <w:b/>
          <w:bCs/>
          <w:i w:val="false"/>
          <w:iCs w:val="false"/>
          <w:color w:val="000000"/>
          <w:sz w:val="22"/>
          <w:szCs w:val="22"/>
        </w:rPr>
        <w:t xml:space="preserve">4. Proposed Method</w:t>
      </w:r>
    </w:p>
    <w:p>
      <w:pPr>
        <w:spacing w:after="60" w:before="0" w:line="240"/>
        <w:jc w:val="both"/>
      </w:pPr>
      <w:r>
        <w:rPr>
          <w:rFonts w:ascii="Times New Roman" w:cs="Times New Roman" w:eastAsia="Times New Roman" w:hAnsi="Times New Roman"/>
          <w:b/>
          <w:bCs/>
          <w:i w:val="false"/>
          <w:iCs w:val="false"/>
          <w:color w:val="000000"/>
          <w:sz w:val="20"/>
          <w:szCs w:val="20"/>
        </w:rPr>
        <w:t xml:space="preserve">Baseline - Convolutional Autoencoder: </w:t>
      </w:r>
      <w:r>
        <w:rPr>
          <w:rFonts w:ascii="Times New Roman" w:cs="Times New Roman" w:eastAsia="Times New Roman" w:hAnsi="Times New Roman"/>
          <w:b w:val="false"/>
          <w:bCs w:val="false"/>
          <w:i w:val="false"/>
          <w:iCs w:val="false"/>
          <w:color w:val="000000"/>
          <w:sz w:val="20"/>
          <w:szCs w:val="20"/>
        </w:rPr>
        <w:t xml:space="preserve">Trained on defect-free images to learn normal appearance. Anomalies produce higher reconstruction error (MSE). The per-pixel error is the anomaly map and the image-level maximum error is the anomaly score. </w:t>
      </w:r>
      <w:r>
        <w:rPr>
          <w:rFonts w:ascii="Times New Roman" w:cs="Times New Roman" w:eastAsia="Times New Roman" w:hAnsi="Times New Roman"/>
          <w:b/>
          <w:bCs/>
          <w:i w:val="false"/>
          <w:iCs w:val="false"/>
          <w:color w:val="000000"/>
          <w:sz w:val="20"/>
          <w:szCs w:val="20"/>
        </w:rPr>
        <w:t xml:space="preserve">Improved Method - PatchCore (WideResNet50): </w:t>
      </w:r>
      <w:r>
        <w:rPr>
          <w:rFonts w:ascii="Times New Roman" w:cs="Times New Roman" w:eastAsia="Times New Roman" w:hAnsi="Times New Roman"/>
          <w:b w:val="false"/>
          <w:bCs w:val="false"/>
          <w:i w:val="false"/>
          <w:iCs w:val="false"/>
          <w:color w:val="000000"/>
          <w:sz w:val="20"/>
          <w:szCs w:val="20"/>
        </w:rPr>
        <w:t xml:space="preserve">Extracts patch-level features from a pretrained ImageNet backbone into a coreset-reduced memory bank. Test patches are scored by nearest-neighbour distance to the bank. Requires no gradient-based training on the target data. </w:t>
      </w:r>
      <w:r>
        <w:rPr>
          <w:rFonts w:ascii="Times New Roman" w:cs="Times New Roman" w:eastAsia="Times New Roman" w:hAnsi="Times New Roman"/>
          <w:b/>
          <w:bCs/>
          <w:i w:val="false"/>
          <w:iCs w:val="false"/>
          <w:color w:val="000000"/>
          <w:sz w:val="20"/>
          <w:szCs w:val="20"/>
        </w:rPr>
        <w:t xml:space="preserve">Explainability: </w:t>
      </w:r>
      <w:r>
        <w:rPr>
          <w:rFonts w:ascii="Times New Roman" w:cs="Times New Roman" w:eastAsia="Times New Roman" w:hAnsi="Times New Roman"/>
          <w:b w:val="false"/>
          <w:bCs w:val="false"/>
          <w:i w:val="false"/>
          <w:iCs w:val="false"/>
          <w:color w:val="000000"/>
          <w:sz w:val="20"/>
          <w:szCs w:val="20"/>
        </w:rPr>
        <w:t xml:space="preserve">Grad-CAM for the autoencoder (gradients accessible) and occlusion sensitivity for PatchCore (anomalib disables gradients internally). Both are quantitatively scored against ground truth masks.</w:t>
      </w: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220"/>
        <w:gridCol w:w="4220"/>
      </w:tblGrid>
      <w:tr>
        <w:trPr>
          <w:tblHeader/>
        </w:trPr>
        <w:tc>
          <w:tcPr>
            <w:tcW w:type="dxa" w:w="200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Aspect</w:t>
            </w:r>
          </w:p>
        </w:tc>
        <w:tc>
          <w:tcPr>
            <w:tcW w:type="dxa" w:w="422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Baseline (Autoencoder)</w:t>
            </w:r>
          </w:p>
        </w:tc>
        <w:tc>
          <w:tcPr>
            <w:tcW w:type="dxa" w:w="422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Improved (PatchCore)</w:t>
            </w:r>
          </w:p>
        </w:tc>
      </w:tr>
      <w:tr>
        <w:tc>
          <w:tcPr>
            <w:tcW w:type="dxa" w:w="20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Features</w:t>
            </w:r>
          </w:p>
        </w:tc>
        <w:tc>
          <w:tcPr>
            <w:tcW w:type="dxa" w:w="422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Learned from scratch</w:t>
            </w:r>
          </w:p>
        </w:tc>
        <w:tc>
          <w:tcPr>
            <w:tcW w:type="dxa" w:w="422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Pretrained ImageNet (WideResNet50)</w:t>
            </w:r>
          </w:p>
        </w:tc>
      </w:tr>
      <w:tr>
        <w:tc>
          <w:tcPr>
            <w:tcW w:type="dxa" w:w="20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Anomaly Signal</w:t>
            </w:r>
          </w:p>
        </w:tc>
        <w:tc>
          <w:tcPr>
            <w:tcW w:type="dxa" w:w="422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Reconstruction error (MSE)</w:t>
            </w:r>
          </w:p>
        </w:tc>
        <w:tc>
          <w:tcPr>
            <w:tcW w:type="dxa" w:w="422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Nearest-neighbour distance in feature space</w:t>
            </w:r>
          </w:p>
        </w:tc>
      </w:tr>
      <w:tr>
        <w:tc>
          <w:tcPr>
            <w:tcW w:type="dxa" w:w="20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Training</w:t>
            </w:r>
          </w:p>
        </w:tc>
        <w:tc>
          <w:tcPr>
            <w:tcW w:type="dxa" w:w="422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Gradient-based (~100 epochs)</w:t>
            </w:r>
          </w:p>
        </w:tc>
        <w:tc>
          <w:tcPr>
            <w:tcW w:type="dxa" w:w="422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Memory bank construction (no training)</w:t>
            </w:r>
          </w:p>
        </w:tc>
      </w:tr>
      <w:tr>
        <w:tc>
          <w:tcPr>
            <w:tcW w:type="dxa" w:w="20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Explainability</w:t>
            </w:r>
          </w:p>
        </w:tc>
        <w:tc>
          <w:tcPr>
            <w:tcW w:type="dxa" w:w="422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Grad-CAM</w:t>
            </w:r>
          </w:p>
        </w:tc>
        <w:tc>
          <w:tcPr>
            <w:tcW w:type="dxa" w:w="422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Occlusion sensitivity</w:t>
            </w:r>
          </w:p>
        </w:tc>
      </w:tr>
    </w:tbl>
    <w:p>
      <w:pPr>
        <w:pBdr>
          <w:bottom w:val="single" w:color="999999" w:sz="1" w:space="2"/>
        </w:pBdr>
        <w:spacing w:after="40" w:before="140"/>
        <w:jc w:val="left"/>
      </w:pPr>
      <w:r>
        <w:rPr>
          <w:rFonts w:ascii="Times New Roman" w:cs="Times New Roman" w:eastAsia="Times New Roman" w:hAnsi="Times New Roman"/>
          <w:b/>
          <w:bCs/>
          <w:i w:val="false"/>
          <w:iCs w:val="false"/>
          <w:color w:val="000000"/>
          <w:sz w:val="22"/>
          <w:szCs w:val="22"/>
        </w:rPr>
        <w:t xml:space="preserve">5. Evaluation Plan</w:t>
      </w: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900"/>
        <w:gridCol w:w="6740"/>
      </w:tblGrid>
      <w:tr>
        <w:trPr>
          <w:tblHeader/>
        </w:trPr>
        <w:tc>
          <w:tcPr>
            <w:tcW w:type="dxa" w:w="280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Metric</w:t>
            </w:r>
          </w:p>
        </w:tc>
        <w:tc>
          <w:tcPr>
            <w:tcW w:type="dxa" w:w="90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Level</w:t>
            </w:r>
          </w:p>
        </w:tc>
        <w:tc>
          <w:tcPr>
            <w:tcW w:type="dxa" w:w="674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Purpose</w:t>
            </w:r>
          </w:p>
        </w:tc>
      </w:tr>
      <w:tr>
        <w:tc>
          <w:tcPr>
            <w:tcW w:type="dxa" w:w="28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Image AUROC</w:t>
            </w:r>
          </w:p>
        </w:tc>
        <w:tc>
          <w:tcPr>
            <w:tcW w:type="dxa" w:w="9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Image</w:t>
            </w:r>
          </w:p>
        </w:tc>
        <w:tc>
          <w:tcPr>
            <w:tcW w:type="dxa" w:w="67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Binary classification: normal vs. defective</w:t>
            </w:r>
          </w:p>
        </w:tc>
      </w:tr>
      <w:tr>
        <w:tc>
          <w:tcPr>
            <w:tcW w:type="dxa" w:w="28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Pixel AUROC</w:t>
            </w:r>
          </w:p>
        </w:tc>
        <w:tc>
          <w:tcPr>
            <w:tcW w:type="dxa" w:w="9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Pixel</w:t>
            </w:r>
          </w:p>
        </w:tc>
        <w:tc>
          <w:tcPr>
            <w:tcW w:type="dxa" w:w="674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Per-pixel localization quality</w:t>
            </w:r>
          </w:p>
        </w:tc>
      </w:tr>
      <w:tr>
        <w:tc>
          <w:tcPr>
            <w:tcW w:type="dxa" w:w="28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Per-Region Overlap (PRO)</w:t>
            </w:r>
          </w:p>
        </w:tc>
        <w:tc>
          <w:tcPr>
            <w:tcW w:type="dxa" w:w="9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Pixel</w:t>
            </w:r>
          </w:p>
        </w:tc>
        <w:tc>
          <w:tcPr>
            <w:tcW w:type="dxa" w:w="67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Size-balanced localization evaluation</w:t>
            </w:r>
          </w:p>
        </w:tc>
      </w:tr>
      <w:tr>
        <w:tc>
          <w:tcPr>
            <w:tcW w:type="dxa" w:w="28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Pointing Game Accuracy</w:t>
            </w:r>
          </w:p>
        </w:tc>
        <w:tc>
          <w:tcPr>
            <w:tcW w:type="dxa" w:w="9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XAI</w:t>
            </w:r>
          </w:p>
        </w:tc>
        <w:tc>
          <w:tcPr>
            <w:tcW w:type="dxa" w:w="674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Highest-attribution pixel inside defect region</w:t>
            </w:r>
          </w:p>
        </w:tc>
      </w:tr>
      <w:tr>
        <w:tc>
          <w:tcPr>
            <w:tcW w:type="dxa" w:w="28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Top-5% IoU</w:t>
            </w:r>
          </w:p>
        </w:tc>
        <w:tc>
          <w:tcPr>
            <w:tcW w:type="dxa" w:w="9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XAI</w:t>
            </w:r>
          </w:p>
        </w:tc>
        <w:tc>
          <w:tcPr>
            <w:tcW w:type="dxa" w:w="67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Overlap of top 5% attribution pixels with ground truth</w:t>
            </w:r>
          </w:p>
        </w:tc>
      </w:tr>
    </w:tbl>
    <w:p>
      <w:pPr>
        <w:spacing w:after="60" w:before="40" w:line="240"/>
        <w:jc w:val="both"/>
      </w:pPr>
      <w:r>
        <w:rPr>
          <w:rFonts w:ascii="Times New Roman" w:cs="Times New Roman" w:eastAsia="Times New Roman" w:hAnsi="Times New Roman"/>
          <w:b w:val="false"/>
          <w:bCs w:val="false"/>
          <w:i w:val="false"/>
          <w:iCs w:val="false"/>
          <w:color w:val="000000"/>
          <w:sz w:val="20"/>
          <w:szCs w:val="20"/>
        </w:rPr>
        <w:t xml:space="preserve">An ablation comparing ResNet18 vs. WideResNet50 backbones will analyze the localization-vs-speed trade-off. Qualitative outputs (heatmaps, predicted masks, failure cases) will also be produced.</w:t>
      </w:r>
    </w:p>
    <w:p>
      <w:pPr>
        <w:pBdr>
          <w:bottom w:val="single" w:color="999999" w:sz="1" w:space="2"/>
        </w:pBdr>
        <w:spacing w:after="40" w:before="140"/>
        <w:jc w:val="left"/>
      </w:pPr>
      <w:r>
        <w:rPr>
          <w:rFonts w:ascii="Times New Roman" w:cs="Times New Roman" w:eastAsia="Times New Roman" w:hAnsi="Times New Roman"/>
          <w:b/>
          <w:bCs/>
          <w:i w:val="false"/>
          <w:iCs w:val="false"/>
          <w:color w:val="000000"/>
          <w:sz w:val="22"/>
          <w:szCs w:val="22"/>
        </w:rPr>
        <w:t xml:space="preserve">6. Project Goals</w:t>
      </w: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8840"/>
      </w:tblGrid>
      <w:tr>
        <w:trPr>
          <w:tblHeader/>
        </w:trPr>
        <w:tc>
          <w:tcPr>
            <w:tcW w:type="dxa" w:w="160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Level</w:t>
            </w:r>
          </w:p>
        </w:tc>
        <w:tc>
          <w:tcPr>
            <w:tcW w:type="dxa" w:w="884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Description</w:t>
            </w:r>
          </w:p>
        </w:tc>
      </w:tr>
      <w:tr>
        <w:tc>
          <w:tcPr>
            <w:tcW w:type="dxa" w:w="16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Minimum</w:t>
            </w:r>
          </w:p>
        </w:tc>
        <w:tc>
          <w:tcPr>
            <w:tcW w:type="dxa" w:w="88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Autoencoder baseline on Bottle. Report Image AUROC and Pixel AUROC with basic heatmaps.</w:t>
            </w:r>
          </w:p>
        </w:tc>
      </w:tr>
      <w:tr>
        <w:tc>
          <w:tcPr>
            <w:tcW w:type="dxa" w:w="16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Expected</w:t>
            </w:r>
          </w:p>
        </w:tc>
        <w:tc>
          <w:tcPr>
            <w:tcW w:type="dxa" w:w="884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Both methods on all 3 categories. All 5 metrics. Backbone ablation. Explainability analysis.</w:t>
            </w:r>
          </w:p>
        </w:tc>
      </w:tr>
      <w:tr>
        <w:tc>
          <w:tcPr>
            <w:tcW w:type="dxa" w:w="16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Stretch</w:t>
            </w:r>
          </w:p>
        </w:tc>
        <w:tc>
          <w:tcPr>
            <w:tcW w:type="dxa" w:w="88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Additional MVTec AD categories. Real-time inference demo. Lightweight deployment model.</w:t>
            </w:r>
          </w:p>
        </w:tc>
      </w:tr>
    </w:tbl>
    <w:p>
      <w:pPr>
        <w:pBdr>
          <w:bottom w:val="single" w:color="999999" w:sz="1" w:space="2"/>
        </w:pBdr>
        <w:spacing w:after="40" w:before="140"/>
        <w:jc w:val="left"/>
      </w:pPr>
      <w:r>
        <w:rPr>
          <w:rFonts w:ascii="Times New Roman" w:cs="Times New Roman" w:eastAsia="Times New Roman" w:hAnsi="Times New Roman"/>
          <w:b/>
          <w:bCs/>
          <w:i w:val="false"/>
          <w:iCs w:val="false"/>
          <w:color w:val="000000"/>
          <w:sz w:val="22"/>
          <w:szCs w:val="22"/>
        </w:rPr>
        <w:t xml:space="preserve">7. Timeline</w:t>
      </w: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700"/>
        <w:gridCol w:w="5840"/>
        <w:gridCol w:w="2200"/>
      </w:tblGrid>
      <w:tr>
        <w:trPr>
          <w:tblHeader/>
        </w:trPr>
        <w:tc>
          <w:tcPr>
            <w:tcW w:type="dxa" w:w="70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Week</w:t>
            </w:r>
          </w:p>
        </w:tc>
        <w:tc>
          <w:tcPr>
            <w:tcW w:type="dxa" w:w="170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Period</w:t>
            </w:r>
          </w:p>
        </w:tc>
        <w:tc>
          <w:tcPr>
            <w:tcW w:type="dxa" w:w="584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Tasks</w:t>
            </w:r>
          </w:p>
        </w:tc>
        <w:tc>
          <w:tcPr>
            <w:tcW w:type="dxa" w:w="220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Milestone</w:t>
            </w:r>
          </w:p>
        </w:tc>
      </w:tr>
      <w:tr>
        <w:tc>
          <w:tcPr>
            <w:tcW w:type="dxa" w:w="7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1</w:t>
            </w:r>
          </w:p>
        </w:tc>
        <w:tc>
          <w:tcPr>
            <w:tcW w:type="dxa" w:w="17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1-7 Jul</w:t>
            </w:r>
          </w:p>
        </w:tc>
        <w:tc>
          <w:tcPr>
            <w:tcW w:type="dxa" w:w="58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Group formation, topic registration, GitHub setup</w:t>
            </w:r>
          </w:p>
        </w:tc>
        <w:tc>
          <w:tcPr>
            <w:tcW w:type="dxa" w:w="22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M0</w:t>
            </w:r>
          </w:p>
        </w:tc>
      </w:tr>
      <w:tr>
        <w:tc>
          <w:tcPr>
            <w:tcW w:type="dxa" w:w="7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2</w:t>
            </w:r>
          </w:p>
        </w:tc>
        <w:tc>
          <w:tcPr>
            <w:tcW w:type="dxa" w:w="17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8-14 Jul</w:t>
            </w:r>
          </w:p>
        </w:tc>
        <w:tc>
          <w:tcPr>
            <w:tcW w:type="dxa" w:w="584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Finalize proposal, begin dataset download and EDA</w:t>
            </w:r>
          </w:p>
        </w:tc>
        <w:tc>
          <w:tcPr>
            <w:tcW w:type="dxa" w:w="22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M1</w:t>
            </w:r>
          </w:p>
        </w:tc>
      </w:tr>
      <w:tr>
        <w:tc>
          <w:tcPr>
            <w:tcW w:type="dxa" w:w="7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3-4</w:t>
            </w:r>
          </w:p>
        </w:tc>
        <w:tc>
          <w:tcPr>
            <w:tcW w:type="dxa" w:w="17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15-28 Jul</w:t>
            </w:r>
          </w:p>
        </w:tc>
        <w:tc>
          <w:tcPr>
            <w:tcW w:type="dxa" w:w="58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Preprocess MVTec AD, implement and evaluate autoencoder baseline</w:t>
            </w:r>
          </w:p>
        </w:tc>
        <w:tc>
          <w:tcPr>
            <w:tcW w:type="dxa" w:w="22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M2</w:t>
            </w:r>
          </w:p>
        </w:tc>
      </w:tr>
      <w:tr>
        <w:tc>
          <w:tcPr>
            <w:tcW w:type="dxa" w:w="7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5-6</w:t>
            </w:r>
          </w:p>
        </w:tc>
        <w:tc>
          <w:tcPr>
            <w:tcW w:type="dxa" w:w="17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29 Jul-11 Aug</w:t>
            </w:r>
          </w:p>
        </w:tc>
        <w:tc>
          <w:tcPr>
            <w:tcW w:type="dxa" w:w="584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Implement PatchCore, run on all categories, compute metrics</w:t>
            </w:r>
          </w:p>
        </w:tc>
        <w:tc>
          <w:tcPr>
            <w:tcW w:type="dxa" w:w="22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w:t>
            </w:r>
          </w:p>
        </w:tc>
      </w:tr>
      <w:tr>
        <w:tc>
          <w:tcPr>
            <w:tcW w:type="dxa" w:w="7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7</w:t>
            </w:r>
          </w:p>
        </w:tc>
        <w:tc>
          <w:tcPr>
            <w:tcW w:type="dxa" w:w="17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12-18 Aug</w:t>
            </w:r>
          </w:p>
        </w:tc>
        <w:tc>
          <w:tcPr>
            <w:tcW w:type="dxa" w:w="58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Ablation study, implement Grad-CAM and occlusion sensitivity</w:t>
            </w:r>
          </w:p>
        </w:tc>
        <w:tc>
          <w:tcPr>
            <w:tcW w:type="dxa" w:w="22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M3</w:t>
            </w:r>
          </w:p>
        </w:tc>
      </w:tr>
      <w:tr>
        <w:tc>
          <w:tcPr>
            <w:tcW w:type="dxa" w:w="7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8</w:t>
            </w:r>
          </w:p>
        </w:tc>
        <w:tc>
          <w:tcPr>
            <w:tcW w:type="dxa" w:w="17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19-25 Aug</w:t>
            </w:r>
          </w:p>
        </w:tc>
        <w:tc>
          <w:tcPr>
            <w:tcW w:type="dxa" w:w="584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Complete experiments, generate qualitative outputs, finalize tables</w:t>
            </w:r>
          </w:p>
        </w:tc>
        <w:tc>
          <w:tcPr>
            <w:tcW w:type="dxa" w:w="22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M4</w:t>
            </w:r>
          </w:p>
        </w:tc>
      </w:tr>
      <w:tr>
        <w:tc>
          <w:tcPr>
            <w:tcW w:type="dxa" w:w="7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9</w:t>
            </w:r>
          </w:p>
        </w:tc>
        <w:tc>
          <w:tcPr>
            <w:tcW w:type="dxa" w:w="17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26 Aug-1 Sep</w:t>
            </w:r>
          </w:p>
        </w:tc>
        <w:tc>
          <w:tcPr>
            <w:tcW w:type="dxa" w:w="58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Write IEEE report, clean repository, prepare demo</w:t>
            </w:r>
          </w:p>
        </w:tc>
        <w:tc>
          <w:tcPr>
            <w:tcW w:type="dxa" w:w="22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M5</w:t>
            </w:r>
          </w:p>
        </w:tc>
      </w:tr>
      <w:tr>
        <w:tc>
          <w:tcPr>
            <w:tcW w:type="dxa" w:w="7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10</w:t>
            </w:r>
          </w:p>
        </w:tc>
        <w:tc>
          <w:tcPr>
            <w:tcW w:type="dxa" w:w="17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2-7 Sep</w:t>
            </w:r>
          </w:p>
        </w:tc>
        <w:tc>
          <w:tcPr>
            <w:tcW w:type="dxa" w:w="584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Final submission, presentation slides, demonstration</w:t>
            </w:r>
          </w:p>
        </w:tc>
        <w:tc>
          <w:tcPr>
            <w:tcW w:type="dxa" w:w="22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M6</w:t>
            </w:r>
          </w:p>
        </w:tc>
      </w:tr>
    </w:tbl>
    <w:p>
      <w:pPr>
        <w:pBdr>
          <w:bottom w:val="single" w:color="999999" w:sz="1" w:space="2"/>
        </w:pBdr>
        <w:spacing w:after="40" w:before="140"/>
        <w:jc w:val="left"/>
      </w:pPr>
      <w:r>
        <w:rPr>
          <w:rFonts w:ascii="Times New Roman" w:cs="Times New Roman" w:eastAsia="Times New Roman" w:hAnsi="Times New Roman"/>
          <w:b/>
          <w:bCs/>
          <w:i w:val="false"/>
          <w:iCs w:val="false"/>
          <w:color w:val="000000"/>
          <w:sz w:val="22"/>
          <w:szCs w:val="22"/>
        </w:rPr>
        <w:t xml:space="preserve">8. Risk Assessment</w:t>
      </w: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000"/>
        <w:gridCol w:w="6240"/>
      </w:tblGrid>
      <w:tr>
        <w:trPr>
          <w:tblHeader/>
        </w:trPr>
        <w:tc>
          <w:tcPr>
            <w:tcW w:type="dxa" w:w="320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Risk</w:t>
            </w:r>
          </w:p>
        </w:tc>
        <w:tc>
          <w:tcPr>
            <w:tcW w:type="dxa" w:w="100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Impact</w:t>
            </w:r>
          </w:p>
        </w:tc>
        <w:tc>
          <w:tcPr>
            <w:tcW w:type="dxa" w:w="624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Mitigation</w:t>
            </w:r>
          </w:p>
        </w:tc>
      </w:tr>
      <w:tr>
        <w:tc>
          <w:tcPr>
            <w:tcW w:type="dxa" w:w="32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GPU memory insufficient for WideResNet50</w:t>
            </w:r>
          </w:p>
        </w:tc>
        <w:tc>
          <w:tcPr>
            <w:tcW w:type="dxa" w:w="10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Medium</w:t>
            </w:r>
          </w:p>
        </w:tc>
        <w:tc>
          <w:tcPr>
            <w:tcW w:type="dxa" w:w="62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Fall back to ResNet18; use CPU with longer runtime</w:t>
            </w:r>
          </w:p>
        </w:tc>
      </w:tr>
      <w:tr>
        <w:tc>
          <w:tcPr>
            <w:tcW w:type="dxa" w:w="32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Autoencoder fails on texture categories</w:t>
            </w:r>
          </w:p>
        </w:tc>
        <w:tc>
          <w:tcPr>
            <w:tcW w:type="dxa" w:w="10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High</w:t>
            </w:r>
          </w:p>
        </w:tc>
        <w:tc>
          <w:tcPr>
            <w:tcW w:type="dxa" w:w="624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Expected per literature; document as finding and analyze why</w:t>
            </w:r>
          </w:p>
        </w:tc>
      </w:tr>
      <w:tr>
        <w:tc>
          <w:tcPr>
            <w:tcW w:type="dxa" w:w="32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PatchCore memory bank exceeds RAM</w:t>
            </w:r>
          </w:p>
        </w:tc>
        <w:tc>
          <w:tcPr>
            <w:tcW w:type="dxa" w:w="10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Medium</w:t>
            </w:r>
          </w:p>
        </w:tc>
        <w:tc>
          <w:tcPr>
            <w:tcW w:type="dxa" w:w="62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Reduce coreset percentage (built into anomalib)</w:t>
            </w:r>
          </w:p>
        </w:tc>
      </w:tr>
      <w:tr>
        <w:tc>
          <w:tcPr>
            <w:tcW w:type="dxa" w:w="32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Explainability produces poor localization</w:t>
            </w:r>
          </w:p>
        </w:tc>
        <w:tc>
          <w:tcPr>
            <w:tcW w:type="dxa" w:w="10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Medium</w:t>
            </w:r>
          </w:p>
        </w:tc>
        <w:tc>
          <w:tcPr>
            <w:tcW w:type="dxa" w:w="624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Analyze failure modes; compare multiple occlusion patch sizes</w:t>
            </w:r>
          </w:p>
        </w:tc>
      </w:tr>
      <w:tr>
        <w:tc>
          <w:tcPr>
            <w:tcW w:type="dxa" w:w="32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Team member unavailability</w:t>
            </w:r>
          </w:p>
        </w:tc>
        <w:tc>
          <w:tcPr>
            <w:tcW w:type="dxa" w:w="10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Low</w:t>
            </w:r>
          </w:p>
        </w:tc>
        <w:tc>
          <w:tcPr>
            <w:tcW w:type="dxa" w:w="62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Clear task division; shared repo; weekly sync</w:t>
            </w:r>
          </w:p>
        </w:tc>
      </w:tr>
    </w:tbl>
    <w:p>
      <w:pPr>
        <w:pBdr>
          <w:bottom w:val="single" w:color="999999" w:sz="1" w:space="2"/>
        </w:pBdr>
        <w:spacing w:after="40" w:before="140"/>
        <w:jc w:val="left"/>
      </w:pPr>
      <w:r>
        <w:rPr>
          <w:rFonts w:ascii="Times New Roman" w:cs="Times New Roman" w:eastAsia="Times New Roman" w:hAnsi="Times New Roman"/>
          <w:b/>
          <w:bCs/>
          <w:i w:val="false"/>
          <w:iCs w:val="false"/>
          <w:color w:val="000000"/>
          <w:sz w:val="22"/>
          <w:szCs w:val="22"/>
        </w:rPr>
        <w:t xml:space="preserve">9. Member Contribution Plan</w:t>
      </w: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440"/>
      </w:tblGrid>
      <w:tr>
        <w:trPr>
          <w:tblHeader/>
        </w:trPr>
        <w:tc>
          <w:tcPr>
            <w:tcW w:type="dxa" w:w="300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Member</w:t>
            </w:r>
          </w:p>
        </w:tc>
        <w:tc>
          <w:tcPr>
            <w:tcW w:type="dxa" w:w="744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Primary Responsibilities</w:t>
            </w:r>
          </w:p>
        </w:tc>
      </w:tr>
      <w:tr>
        <w:tc>
          <w:tcPr>
            <w:tcW w:type="dxa" w:w="30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M.T. Dineth (E/23/076)</w:t>
            </w:r>
          </w:p>
        </w:tc>
        <w:tc>
          <w:tcPr>
            <w:tcW w:type="dxa" w:w="74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PatchCore implementation, backbone ablation study, repository management</w:t>
            </w:r>
          </w:p>
        </w:tc>
      </w:tr>
      <w:tr>
        <w:tc>
          <w:tcPr>
            <w:tcW w:type="dxa" w:w="30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H.M.U.A. Perera (E/23/266)</w:t>
            </w:r>
          </w:p>
        </w:tc>
        <w:tc>
          <w:tcPr>
            <w:tcW w:type="dxa" w:w="744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Autoencoder baseline, explainability analysis (Grad-CAM, occlusion sensitivity), report writing</w:t>
            </w:r>
          </w:p>
        </w:tc>
      </w:tr>
      <w:tr>
        <w:tc>
          <w:tcPr>
            <w:tcW w:type="dxa" w:w="30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A.W.K.D.A. Alagiyawanna (E/23/012)</w:t>
            </w:r>
          </w:p>
        </w:tc>
        <w:tc>
          <w:tcPr>
            <w:tcW w:type="dxa" w:w="74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Dataset preparation, evaluation metrics, qualitative visualization, demo preparation</w:t>
            </w:r>
          </w:p>
        </w:tc>
      </w:tr>
    </w:tbl>
    <w:p>
      <w:pPr>
        <w:pBdr>
          <w:bottom w:val="single" w:color="999999" w:sz="1" w:space="2"/>
        </w:pBdr>
        <w:spacing w:after="40" w:before="140"/>
        <w:jc w:val="left"/>
      </w:pPr>
      <w:r>
        <w:rPr>
          <w:rFonts w:ascii="Times New Roman" w:cs="Times New Roman" w:eastAsia="Times New Roman" w:hAnsi="Times New Roman"/>
          <w:b/>
          <w:bCs/>
          <w:i w:val="false"/>
          <w:iCs w:val="false"/>
          <w:color w:val="000000"/>
          <w:sz w:val="22"/>
          <w:szCs w:val="22"/>
        </w:rPr>
        <w:t xml:space="preserve">10. Ethics and Data Privacy</w:t>
      </w:r>
    </w:p>
    <w:p>
      <w:pPr>
        <w:spacing w:after="60" w:before="0" w:line="240"/>
        <w:jc w:val="both"/>
      </w:pPr>
      <w:r>
        <w:rPr>
          <w:rFonts w:ascii="Times New Roman" w:cs="Times New Roman" w:eastAsia="Times New Roman" w:hAnsi="Times New Roman"/>
          <w:b w:val="false"/>
          <w:bCs w:val="false"/>
          <w:i w:val="false"/>
          <w:iCs w:val="false"/>
          <w:color w:val="000000"/>
          <w:sz w:val="20"/>
          <w:szCs w:val="20"/>
        </w:rPr>
        <w:t xml:space="preserve">The MVTec AD dataset contains images of industrial products (bottles, hazelnuts, carpet textures) and does not include human subjects, faces or personally identifiable information. The dataset is publicly available under CC BY-NC-SA 4.0 and is used strictly for non-commercial academic research. No data collection involving human participants is required. Model predictions will not be presented as reliable industrial inspection decisions.</w:t>
      </w:r>
    </w:p>
    <w:p>
      <w:pPr>
        <w:pBdr>
          <w:bottom w:val="single" w:color="999999" w:sz="1" w:space="2"/>
        </w:pBdr>
        <w:spacing w:after="40" w:before="140"/>
        <w:jc w:val="left"/>
      </w:pPr>
      <w:r>
        <w:rPr>
          <w:rFonts w:ascii="Times New Roman" w:cs="Times New Roman" w:eastAsia="Times New Roman" w:hAnsi="Times New Roman"/>
          <w:b/>
          <w:bCs/>
          <w:i w:val="false"/>
          <w:iCs w:val="false"/>
          <w:color w:val="000000"/>
          <w:sz w:val="22"/>
          <w:szCs w:val="22"/>
        </w:rPr>
        <w:t xml:space="preserve">11. AI Tool Use Declaration</w:t>
      </w:r>
    </w:p>
    <w:p>
      <w:pPr>
        <w:spacing w:after="60" w:before="0" w:line="240"/>
        <w:jc w:val="both"/>
      </w:pPr>
      <w:r>
        <w:rPr>
          <w:rFonts w:ascii="Times New Roman" w:cs="Times New Roman" w:eastAsia="Times New Roman" w:hAnsi="Times New Roman"/>
          <w:b w:val="false"/>
          <w:bCs w:val="false"/>
          <w:i w:val="false"/>
          <w:iCs w:val="false"/>
          <w:color w:val="000000"/>
          <w:sz w:val="20"/>
          <w:szCs w:val="20"/>
        </w:rPr>
        <w:t xml:space="preserve">AI tools (Claude) may be used for coding assistance, debugging and improving writing clarity. All AI-generated code will be reviewed, tested and understood by group members. The final report and all technical decisions represent the group's own understanding. Detailed AI usage will be documented in the project repository.</w:t>
      </w:r>
    </w:p>
    <w:p>
      <w:pPr>
        <w:spacing w:after="30" w:before="140" w:line="240"/>
        <w:jc w:val="left"/>
      </w:pPr>
      <w:r>
        <w:rPr>
          <w:rFonts w:ascii="Times New Roman" w:cs="Times New Roman" w:eastAsia="Times New Roman" w:hAnsi="Times New Roman"/>
          <w:b/>
          <w:bCs/>
          <w:i w:val="false"/>
          <w:iCs w:val="false"/>
          <w:color w:val="000000"/>
          <w:sz w:val="22"/>
          <w:szCs w:val="22"/>
        </w:rPr>
        <w:t xml:space="preserve">References</w:t>
      </w:r>
    </w:p>
    <w:p>
      <w:pPr>
        <w:spacing w:after="15" w:before="0" w:line="240"/>
        <w:jc w:val="both"/>
      </w:pPr>
      <w:r>
        <w:rPr>
          <w:rFonts w:ascii="Times New Roman" w:cs="Times New Roman" w:eastAsia="Times New Roman" w:hAnsi="Times New Roman"/>
          <w:b w:val="false"/>
          <w:bCs w:val="false"/>
          <w:i w:val="false"/>
          <w:iCs w:val="false"/>
          <w:color w:val="000000"/>
          <w:sz w:val="18"/>
          <w:szCs w:val="18"/>
        </w:rPr>
        <w:t xml:space="preserve">[1] P. Bergmann et al., "The MVTec Anomaly Detection Dataset," IJCV, vol. 129, pp. 1038-1059, 2021.</w:t>
      </w:r>
    </w:p>
    <w:p>
      <w:pPr>
        <w:spacing w:after="15" w:before="0" w:line="240"/>
        <w:jc w:val="both"/>
      </w:pPr>
      <w:r>
        <w:rPr>
          <w:rFonts w:ascii="Times New Roman" w:cs="Times New Roman" w:eastAsia="Times New Roman" w:hAnsi="Times New Roman"/>
          <w:b w:val="false"/>
          <w:bCs w:val="false"/>
          <w:i w:val="false"/>
          <w:iCs w:val="false"/>
          <w:color w:val="000000"/>
          <w:sz w:val="18"/>
          <w:szCs w:val="18"/>
        </w:rPr>
        <w:t xml:space="preserve">[2] K. Roth et al., "Towards Total Recall in Industrial Anomaly Detection," CVPR, 2022.</w:t>
      </w:r>
    </w:p>
    <w:p>
      <w:pPr>
        <w:spacing w:after="15" w:before="0" w:line="240"/>
        <w:jc w:val="both"/>
      </w:pPr>
      <w:r>
        <w:rPr>
          <w:rFonts w:ascii="Times New Roman" w:cs="Times New Roman" w:eastAsia="Times New Roman" w:hAnsi="Times New Roman"/>
          <w:b w:val="false"/>
          <w:bCs w:val="false"/>
          <w:i w:val="false"/>
          <w:iCs w:val="false"/>
          <w:color w:val="000000"/>
          <w:sz w:val="18"/>
          <w:szCs w:val="18"/>
        </w:rPr>
        <w:t xml:space="preserve">[3] T. Defard et al., "PaDiM: A Patch Distribution Modeling Framework for Anomaly Detection," ICPR, 2021.</w:t>
      </w:r>
    </w:p>
    <w:p>
      <w:pPr>
        <w:spacing w:after="15" w:before="0" w:line="240"/>
        <w:jc w:val="both"/>
      </w:pPr>
      <w:r>
        <w:rPr>
          <w:rFonts w:ascii="Times New Roman" w:cs="Times New Roman" w:eastAsia="Times New Roman" w:hAnsi="Times New Roman"/>
          <w:b w:val="false"/>
          <w:bCs w:val="false"/>
          <w:i w:val="false"/>
          <w:iCs w:val="false"/>
          <w:color w:val="000000"/>
          <w:sz w:val="18"/>
          <w:szCs w:val="18"/>
        </w:rPr>
        <w:t xml:space="preserve">[4] R. R. Selvaraju et al., "Grad-CAM: Visual Explanations from Deep Networks," ICCV, 2017.</w:t>
      </w:r>
    </w:p>
    <w:p>
      <w:pPr>
        <w:spacing w:after="15" w:before="0" w:line="240"/>
        <w:jc w:val="both"/>
      </w:pPr>
      <w:r>
        <w:rPr>
          <w:rFonts w:ascii="Times New Roman" w:cs="Times New Roman" w:eastAsia="Times New Roman" w:hAnsi="Times New Roman"/>
          <w:b w:val="false"/>
          <w:bCs w:val="false"/>
          <w:i w:val="false"/>
          <w:iCs w:val="false"/>
          <w:color w:val="000000"/>
          <w:sz w:val="18"/>
          <w:szCs w:val="18"/>
        </w:rPr>
        <w:t xml:space="preserve">[5] M. D. Zeiler and R. Fergus, "Visualizing and Understanding Convolutional Networks," ECCV, 2014.</w:t>
      </w:r>
    </w:p>
    <w:p>
      <w:pPr>
        <w:spacing w:after="15" w:before="0" w:line="240"/>
        <w:jc w:val="both"/>
      </w:pPr>
      <w:r>
        <w:rPr>
          <w:rFonts w:ascii="Times New Roman" w:cs="Times New Roman" w:eastAsia="Times New Roman" w:hAnsi="Times New Roman"/>
          <w:b w:val="false"/>
          <w:bCs w:val="false"/>
          <w:i w:val="false"/>
          <w:iCs w:val="false"/>
          <w:color w:val="000000"/>
          <w:sz w:val="18"/>
          <w:szCs w:val="18"/>
        </w:rPr>
        <w:t xml:space="preserve">[6] P. Bergmann et al., "Improving Unsupervised Defect Segmentation by Applying Structural Similarity to Autoencoders," VISIGRAPP, 2019.</w:t>
      </w:r>
    </w:p>
    <w:p>
      <w:pPr>
        <w:spacing w:after="60" w:before="80" w:line="240"/>
        <w:jc w:val="left"/>
      </w:pPr>
      <w:r>
        <w:rPr>
          <w:rFonts w:ascii="Times New Roman" w:cs="Times New Roman" w:eastAsia="Times New Roman" w:hAnsi="Times New Roman"/>
          <w:b/>
          <w:bCs/>
          <w:i w:val="false"/>
          <w:iCs w:val="false"/>
          <w:color w:val="000000"/>
          <w:sz w:val="18"/>
          <w:szCs w:val="18"/>
        </w:rPr>
        <w:t xml:space="preserve">GitHub Repository: </w:t>
      </w:r>
      <w:r>
        <w:rPr>
          <w:rFonts w:ascii="Times New Roman" w:cs="Times New Roman" w:eastAsia="Times New Roman" w:hAnsi="Times New Roman"/>
          <w:b w:val="false"/>
          <w:bCs w:val="false"/>
          <w:i w:val="false"/>
          <w:iCs w:val="false"/>
          <w:color w:val="000000"/>
          <w:sz w:val="18"/>
          <w:szCs w:val="18"/>
        </w:rPr>
        <w:t xml:space="preserve">https://github.com/cepdnaclk/e23-co543-Industrial-Surface-Defect-Detection</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0"/>
        <w:szCs w:val="20"/>
      </w:rPr>
    </w:rPrDefault>
    <w:pPrDefault>
      <w:pPr>
        <w:spacing w:after="60" w:line="24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2026-07-12T18:50:31.288Z</dcterms:created>
  <dcterms:modified xsi:type="dcterms:W3CDTF">2026-07-12T18:50:31.289Z</dcterms:modified>
</cp:coreProperties>
</file>

<file path=docProps/custom.xml><?xml version="1.0" encoding="utf-8"?>
<Properties xmlns="http://schemas.openxmlformats.org/officeDocument/2006/custom-properties" xmlns:vt="http://schemas.openxmlformats.org/officeDocument/2006/docPropsVTypes"/>
</file>