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22" w:rsidRPr="00A127FF" w:rsidRDefault="00787A3D" w:rsidP="00AE05F7">
      <w:pPr>
        <w:ind w:left="-142"/>
        <w:jc w:val="center"/>
        <w:rPr>
          <w:b/>
          <w:sz w:val="32"/>
          <w:lang w:val="en-GB"/>
        </w:rPr>
      </w:pPr>
      <w:r w:rsidRPr="00A127FF">
        <w:rPr>
          <w:b/>
          <w:sz w:val="32"/>
          <w:lang w:val="en-GB"/>
        </w:rPr>
        <w:t>Examples of additional information for correspondence tables</w:t>
      </w:r>
    </w:p>
    <w:p w:rsidR="00787A3D" w:rsidRPr="00787A3D" w:rsidRDefault="00787A3D" w:rsidP="00AE05F7">
      <w:pPr>
        <w:ind w:left="-142"/>
        <w:rPr>
          <w:lang w:val="en-GB"/>
        </w:rPr>
      </w:pPr>
    </w:p>
    <w:p w:rsidR="00987424" w:rsidRDefault="008A5179" w:rsidP="00987424">
      <w:pPr>
        <w:spacing w:after="0"/>
        <w:ind w:left="-142"/>
        <w:jc w:val="both"/>
        <w:rPr>
          <w:lang w:val="en-GB"/>
        </w:rPr>
      </w:pPr>
      <w:r w:rsidRPr="00987424">
        <w:rPr>
          <w:b/>
          <w:sz w:val="24"/>
          <w:lang w:val="en-GB"/>
        </w:rPr>
        <w:t xml:space="preserve">1) </w:t>
      </w:r>
      <w:r w:rsidR="00787A3D" w:rsidRPr="00987424">
        <w:rPr>
          <w:b/>
          <w:sz w:val="24"/>
          <w:lang w:val="en-GB"/>
        </w:rPr>
        <w:t>Correspondence tables between versi</w:t>
      </w:r>
      <w:r w:rsidR="00AE05F7" w:rsidRPr="00987424">
        <w:rPr>
          <w:b/>
          <w:sz w:val="24"/>
          <w:lang w:val="en-GB"/>
        </w:rPr>
        <w:t>o</w:t>
      </w:r>
      <w:r w:rsidR="00787A3D" w:rsidRPr="00987424">
        <w:rPr>
          <w:b/>
          <w:sz w:val="24"/>
          <w:lang w:val="en-GB"/>
        </w:rPr>
        <w:t>ns</w:t>
      </w:r>
      <w:r w:rsidR="00AE05F7" w:rsidRPr="00987424">
        <w:rPr>
          <w:b/>
          <w:sz w:val="24"/>
          <w:lang w:val="en-GB"/>
        </w:rPr>
        <w:t xml:space="preserve"> 2017 and 2012 of the Harmonized System</w:t>
      </w:r>
      <w:r w:rsidRPr="00987424">
        <w:rPr>
          <w:b/>
          <w:sz w:val="24"/>
          <w:lang w:val="en-GB"/>
        </w:rPr>
        <w:br/>
      </w:r>
      <w:r w:rsidR="00987424">
        <w:rPr>
          <w:lang w:val="en-GB"/>
        </w:rPr>
        <w:t>Two types of additional information are combined here:</w:t>
      </w:r>
    </w:p>
    <w:p w:rsidR="00987424" w:rsidRDefault="00987424" w:rsidP="00987424">
      <w:pPr>
        <w:pStyle w:val="ListParagraph"/>
        <w:numPr>
          <w:ilvl w:val="0"/>
          <w:numId w:val="1"/>
        </w:numPr>
        <w:jc w:val="both"/>
        <w:rPr>
          <w:lang w:val="en-GB"/>
        </w:rPr>
      </w:pPr>
      <w:r w:rsidRPr="00987424">
        <w:rPr>
          <w:lang w:val="en-GB"/>
        </w:rPr>
        <w:t>specification of partial coverage</w:t>
      </w:r>
      <w:r>
        <w:rPr>
          <w:lang w:val="en-GB"/>
        </w:rPr>
        <w:t xml:space="preserve"> (prefix “ex”)</w:t>
      </w:r>
      <w:r w:rsidRPr="00987424">
        <w:rPr>
          <w:lang w:val="en-GB"/>
        </w:rPr>
        <w:t xml:space="preserve">; this attribute is used to indicate that only a part of the position concerned is included in a specific link and that the rest of the content of the position is to be found in one or more other links; this attribute can be represented with “ex” (in this case the number of partial links is unknown) or with a positive natural number equal to or exceeding 1 (in this case the number of partial links is known). This attribute can be used for both the source and target classifications. </w:t>
      </w:r>
      <w:r>
        <w:rPr>
          <w:lang w:val="en-GB"/>
        </w:rPr>
        <w:t>This property will probably not need to be modelled as LOD as it can be automatically and easily calculated by a dissemination application.</w:t>
      </w:r>
    </w:p>
    <w:p w:rsidR="00787A3D" w:rsidRPr="00987424" w:rsidRDefault="00987424" w:rsidP="00987424">
      <w:pPr>
        <w:pStyle w:val="ListParagraph"/>
        <w:numPr>
          <w:ilvl w:val="0"/>
          <w:numId w:val="1"/>
        </w:numPr>
        <w:jc w:val="both"/>
        <w:rPr>
          <w:lang w:val="en-GB"/>
        </w:rPr>
      </w:pPr>
      <w:r w:rsidRPr="00987424">
        <w:rPr>
          <w:lang w:val="en-GB"/>
        </w:rPr>
        <w:t>an explanatory text provides information on the nature of the changes</w:t>
      </w:r>
    </w:p>
    <w:tbl>
      <w:tblPr>
        <w:tblStyle w:val="TableGrid"/>
        <w:tblW w:w="0" w:type="auto"/>
        <w:tblLook w:val="04A0" w:firstRow="1" w:lastRow="0" w:firstColumn="1" w:lastColumn="0" w:noHBand="0" w:noVBand="1"/>
      </w:tblPr>
      <w:tblGrid>
        <w:gridCol w:w="2093"/>
        <w:gridCol w:w="2126"/>
        <w:gridCol w:w="5023"/>
      </w:tblGrid>
      <w:tr w:rsidR="00AE05F7" w:rsidTr="00987424">
        <w:tc>
          <w:tcPr>
            <w:tcW w:w="2093" w:type="dxa"/>
          </w:tcPr>
          <w:p w:rsidR="00AE05F7" w:rsidRPr="00AE05F7" w:rsidRDefault="00AE05F7" w:rsidP="00351E70">
            <w:r w:rsidRPr="00AE05F7">
              <w:t>0302.91</w:t>
            </w:r>
          </w:p>
          <w:p w:rsidR="00AE05F7" w:rsidRDefault="00AE05F7" w:rsidP="00351E70"/>
          <w:p w:rsidR="00AE05F7" w:rsidRDefault="00AE05F7" w:rsidP="00351E70">
            <w:r w:rsidRPr="00AE05F7">
              <w:t>0302.92</w:t>
            </w:r>
          </w:p>
          <w:p w:rsidR="00AE05F7" w:rsidRPr="00AE05F7" w:rsidRDefault="00AE05F7" w:rsidP="00351E70"/>
          <w:p w:rsidR="00AE05F7" w:rsidRPr="00AE05F7" w:rsidRDefault="00AE05F7" w:rsidP="00351E70">
            <w:r>
              <w:t>0302.99</w:t>
            </w:r>
          </w:p>
        </w:tc>
        <w:tc>
          <w:tcPr>
            <w:tcW w:w="2126" w:type="dxa"/>
          </w:tcPr>
          <w:p w:rsidR="00AE05F7" w:rsidRDefault="00AE05F7" w:rsidP="00351E70">
            <w:r>
              <w:t>0302.90</w:t>
            </w:r>
          </w:p>
          <w:p w:rsidR="00AE05F7" w:rsidRDefault="00AE05F7" w:rsidP="00351E70">
            <w:pPr>
              <w:rPr>
                <w:lang w:val="en-GB"/>
              </w:rPr>
            </w:pPr>
          </w:p>
          <w:p w:rsidR="00AE05F7" w:rsidRDefault="00AE05F7" w:rsidP="00AE05F7">
            <w:pPr>
              <w:rPr>
                <w:lang w:val="en-GB"/>
              </w:rPr>
            </w:pPr>
            <w:r>
              <w:rPr>
                <w:lang w:val="en-GB"/>
              </w:rPr>
              <w:t>ex0302.81</w:t>
            </w:r>
          </w:p>
          <w:p w:rsidR="00AE05F7" w:rsidRDefault="00AE05F7" w:rsidP="00AE05F7">
            <w:pPr>
              <w:rPr>
                <w:lang w:val="en-GB"/>
              </w:rPr>
            </w:pPr>
          </w:p>
          <w:p w:rsidR="00AE05F7" w:rsidRPr="00AE05F7" w:rsidRDefault="00AE05F7" w:rsidP="00AE05F7">
            <w:r w:rsidRPr="00AE05F7">
              <w:t>ex0302.81</w:t>
            </w:r>
          </w:p>
          <w:p w:rsidR="00AE05F7" w:rsidRPr="00AE05F7" w:rsidRDefault="00AE05F7" w:rsidP="00AE05F7">
            <w:r w:rsidRPr="00AE05F7">
              <w:t>ex0302.11</w:t>
            </w:r>
          </w:p>
          <w:p w:rsidR="00AE05F7" w:rsidRPr="00AE05F7" w:rsidRDefault="00AE05F7" w:rsidP="00AE05F7">
            <w:r w:rsidRPr="00AE05F7">
              <w:t>ex0302.13</w:t>
            </w:r>
          </w:p>
          <w:p w:rsidR="00AE05F7" w:rsidRPr="00AE05F7" w:rsidRDefault="00AE05F7" w:rsidP="00AE05F7">
            <w:r w:rsidRPr="00AE05F7">
              <w:t>ex0302.14</w:t>
            </w:r>
          </w:p>
          <w:p w:rsidR="00AE05F7" w:rsidRPr="00AE05F7" w:rsidRDefault="00AE05F7" w:rsidP="00AE05F7">
            <w:r w:rsidRPr="00AE05F7">
              <w:t>ex0302.19</w:t>
            </w:r>
          </w:p>
          <w:p w:rsidR="00AE05F7" w:rsidRPr="00AE05F7" w:rsidRDefault="00AE05F7" w:rsidP="00AE05F7">
            <w:r w:rsidRPr="00AE05F7">
              <w:t>ex0302.21</w:t>
            </w:r>
          </w:p>
          <w:p w:rsidR="00AE05F7" w:rsidRPr="00AE05F7" w:rsidRDefault="00AE05F7" w:rsidP="00AE05F7">
            <w:r w:rsidRPr="00AE05F7">
              <w:t>ex0302.22</w:t>
            </w:r>
          </w:p>
          <w:p w:rsidR="00AE05F7" w:rsidRPr="00AE05F7" w:rsidRDefault="00AE05F7" w:rsidP="00AE05F7">
            <w:r w:rsidRPr="00AE05F7">
              <w:t>ex0302.23</w:t>
            </w:r>
          </w:p>
          <w:p w:rsidR="00AE05F7" w:rsidRPr="00AE05F7" w:rsidRDefault="00AE05F7" w:rsidP="00AE05F7">
            <w:r w:rsidRPr="00AE05F7">
              <w:t>ex0302.24</w:t>
            </w:r>
          </w:p>
          <w:p w:rsidR="00AE05F7" w:rsidRPr="00AE05F7" w:rsidRDefault="00AE05F7" w:rsidP="00AE05F7">
            <w:r w:rsidRPr="00AE05F7">
              <w:t>ex0302.29</w:t>
            </w:r>
          </w:p>
          <w:p w:rsidR="00AE05F7" w:rsidRDefault="00AE05F7" w:rsidP="00AE05F7">
            <w:pPr>
              <w:rPr>
                <w:lang w:val="en-GB"/>
              </w:rPr>
            </w:pPr>
            <w:r>
              <w:rPr>
                <w:lang w:val="en-GB"/>
              </w:rPr>
              <w:t>ex0302.31</w:t>
            </w:r>
          </w:p>
          <w:p w:rsidR="00AE05F7" w:rsidRDefault="00AE05F7" w:rsidP="00AE05F7">
            <w:pPr>
              <w:rPr>
                <w:lang w:val="en-GB"/>
              </w:rPr>
            </w:pPr>
            <w:r>
              <w:rPr>
                <w:lang w:val="en-GB"/>
              </w:rPr>
              <w:t>etc.</w:t>
            </w:r>
          </w:p>
        </w:tc>
        <w:tc>
          <w:tcPr>
            <w:tcW w:w="5023" w:type="dxa"/>
          </w:tcPr>
          <w:p w:rsidR="00AE05F7" w:rsidRDefault="00AE05F7" w:rsidP="00351E70">
            <w:pPr>
              <w:rPr>
                <w:lang w:val="en-GB"/>
              </w:rPr>
            </w:pPr>
            <w:r w:rsidRPr="00AE05F7">
              <w:rPr>
                <w:lang w:val="en-GB"/>
              </w:rPr>
              <w:t>Expansion of the scope of subheading 0302.9 to include fish fins, heads, tails, maws and other edible fish offal.</w:t>
            </w:r>
          </w:p>
          <w:p w:rsidR="00AE05F7" w:rsidRDefault="00AE05F7" w:rsidP="00351E70">
            <w:pPr>
              <w:rPr>
                <w:lang w:val="en-GB"/>
              </w:rPr>
            </w:pPr>
          </w:p>
          <w:p w:rsidR="00AE05F7" w:rsidRDefault="00AE05F7" w:rsidP="00351E70">
            <w:pPr>
              <w:rPr>
                <w:lang w:val="en-GB"/>
              </w:rPr>
            </w:pPr>
            <w:r w:rsidRPr="00AE05F7">
              <w:rPr>
                <w:lang w:val="en-GB"/>
              </w:rPr>
              <w:t xml:space="preserve">At the same time, subheading 0302.90 has been subdivided to provide separately for fish fins, heads, tails, maws and other edible fish offal. </w:t>
            </w:r>
          </w:p>
          <w:p w:rsidR="00AE05F7" w:rsidRDefault="00AE05F7" w:rsidP="00351E70">
            <w:pPr>
              <w:rPr>
                <w:lang w:val="en-GB"/>
              </w:rPr>
            </w:pPr>
          </w:p>
          <w:p w:rsidR="00AE05F7" w:rsidRPr="00AE05F7" w:rsidRDefault="00AE05F7" w:rsidP="00351E70">
            <w:pPr>
              <w:rPr>
                <w:lang w:val="en-GB"/>
              </w:rPr>
            </w:pPr>
            <w:r w:rsidRPr="00AE05F7">
              <w:rPr>
                <w:lang w:val="en-GB"/>
              </w:rPr>
              <w:t>Amendment adopted as a result of the FAO proposal to enhance the monitoring of the global food security.</w:t>
            </w:r>
          </w:p>
        </w:tc>
      </w:tr>
    </w:tbl>
    <w:p w:rsidR="00AE05F7" w:rsidRDefault="00AE05F7" w:rsidP="00AE05F7">
      <w:pPr>
        <w:ind w:left="-142"/>
        <w:rPr>
          <w:lang w:val="en-GB"/>
        </w:rPr>
      </w:pPr>
    </w:p>
    <w:tbl>
      <w:tblPr>
        <w:tblStyle w:val="TableGrid"/>
        <w:tblW w:w="9242" w:type="dxa"/>
        <w:tblInd w:w="-34" w:type="dxa"/>
        <w:tblLook w:val="04A0" w:firstRow="1" w:lastRow="0" w:firstColumn="1" w:lastColumn="0" w:noHBand="0" w:noVBand="1"/>
      </w:tblPr>
      <w:tblGrid>
        <w:gridCol w:w="2127"/>
        <w:gridCol w:w="2126"/>
        <w:gridCol w:w="4989"/>
      </w:tblGrid>
      <w:tr w:rsidR="00AE05F7" w:rsidTr="00987424">
        <w:tc>
          <w:tcPr>
            <w:tcW w:w="2127" w:type="dxa"/>
          </w:tcPr>
          <w:p w:rsidR="00AE05F7" w:rsidRDefault="00AE05F7" w:rsidP="00AE05F7">
            <w:pPr>
              <w:ind w:left="41"/>
            </w:pPr>
            <w:r>
              <w:t>6907.21</w:t>
            </w:r>
          </w:p>
          <w:p w:rsidR="00AE05F7" w:rsidRDefault="00AE05F7" w:rsidP="00AE05F7">
            <w:pPr>
              <w:ind w:left="41"/>
            </w:pPr>
          </w:p>
          <w:p w:rsidR="00AE05F7" w:rsidRDefault="00AE05F7" w:rsidP="00AE05F7">
            <w:pPr>
              <w:ind w:left="41"/>
            </w:pPr>
          </w:p>
          <w:p w:rsidR="00AE05F7" w:rsidRDefault="00AE05F7" w:rsidP="00AE05F7">
            <w:pPr>
              <w:ind w:left="41"/>
            </w:pPr>
          </w:p>
          <w:p w:rsidR="00AE05F7" w:rsidRDefault="00AE05F7" w:rsidP="00AE05F7">
            <w:pPr>
              <w:ind w:left="41"/>
            </w:pPr>
          </w:p>
          <w:p w:rsidR="00AE05F7" w:rsidRDefault="00AE05F7" w:rsidP="00AE05F7">
            <w:pPr>
              <w:ind w:left="41"/>
            </w:pPr>
            <w:r>
              <w:t>6907.22</w:t>
            </w:r>
          </w:p>
          <w:p w:rsidR="00AE05F7" w:rsidRDefault="00AE05F7" w:rsidP="00AE05F7">
            <w:pPr>
              <w:ind w:left="41"/>
            </w:pPr>
          </w:p>
          <w:p w:rsidR="00AE05F7" w:rsidRDefault="00AE05F7" w:rsidP="00AE05F7">
            <w:pPr>
              <w:ind w:left="41"/>
            </w:pPr>
          </w:p>
          <w:p w:rsidR="00AE05F7" w:rsidRDefault="00AE05F7" w:rsidP="00AE05F7">
            <w:pPr>
              <w:ind w:left="41"/>
            </w:pPr>
          </w:p>
          <w:p w:rsidR="00AE05F7" w:rsidRDefault="00AE05F7" w:rsidP="00AE05F7">
            <w:pPr>
              <w:ind w:left="41"/>
            </w:pPr>
          </w:p>
          <w:p w:rsidR="00AE05F7" w:rsidRDefault="00AE05F7" w:rsidP="00AE05F7">
            <w:pPr>
              <w:ind w:left="41"/>
            </w:pPr>
            <w:r>
              <w:t>6907.23</w:t>
            </w:r>
          </w:p>
          <w:p w:rsidR="00AE05F7" w:rsidRDefault="00AE05F7" w:rsidP="00AE05F7">
            <w:pPr>
              <w:ind w:left="41"/>
            </w:pPr>
          </w:p>
          <w:p w:rsidR="00AE05F7" w:rsidRDefault="00AE05F7" w:rsidP="00AE05F7">
            <w:pPr>
              <w:ind w:left="41"/>
            </w:pPr>
          </w:p>
          <w:p w:rsidR="00AE05F7" w:rsidRDefault="00AE05F7" w:rsidP="00AE05F7">
            <w:pPr>
              <w:ind w:left="41"/>
            </w:pPr>
          </w:p>
          <w:p w:rsidR="00AE05F7" w:rsidRDefault="00AE05F7" w:rsidP="00AE05F7">
            <w:pPr>
              <w:ind w:left="41"/>
            </w:pPr>
          </w:p>
          <w:p w:rsidR="00AE05F7" w:rsidRDefault="00AE05F7" w:rsidP="00AE05F7">
            <w:pPr>
              <w:ind w:left="41"/>
              <w:rPr>
                <w:lang w:val="en-GB"/>
              </w:rPr>
            </w:pPr>
            <w:r>
              <w:t>etc.</w:t>
            </w:r>
          </w:p>
        </w:tc>
        <w:tc>
          <w:tcPr>
            <w:tcW w:w="2126" w:type="dxa"/>
          </w:tcPr>
          <w:p w:rsidR="00AE05F7" w:rsidRDefault="00AE05F7" w:rsidP="00AE05F7">
            <w:r>
              <w:t>ex6907.10</w:t>
            </w:r>
          </w:p>
          <w:p w:rsidR="00AE05F7" w:rsidRDefault="00AE05F7" w:rsidP="00AE05F7">
            <w:r>
              <w:t>ex6907.90</w:t>
            </w:r>
          </w:p>
          <w:p w:rsidR="00AE05F7" w:rsidRDefault="00AE05F7" w:rsidP="00AE05F7">
            <w:r>
              <w:t>e</w:t>
            </w:r>
            <w:r>
              <w:t>x6908.10</w:t>
            </w:r>
          </w:p>
          <w:p w:rsidR="00AE05F7" w:rsidRDefault="00AE05F7" w:rsidP="00AE05F7">
            <w:r>
              <w:t>ex6908.90</w:t>
            </w:r>
          </w:p>
          <w:p w:rsidR="00AE05F7" w:rsidRDefault="00AE05F7" w:rsidP="00AE05F7"/>
          <w:p w:rsidR="00AE05F7" w:rsidRDefault="00AE05F7" w:rsidP="00AE05F7">
            <w:r>
              <w:t>ex6907.10</w:t>
            </w:r>
          </w:p>
          <w:p w:rsidR="00AE05F7" w:rsidRDefault="00AE05F7" w:rsidP="00AE05F7">
            <w:r>
              <w:t>ex6907.90</w:t>
            </w:r>
          </w:p>
          <w:p w:rsidR="00AE05F7" w:rsidRDefault="00AE05F7" w:rsidP="00AE05F7">
            <w:r>
              <w:t>ex6908.10</w:t>
            </w:r>
          </w:p>
          <w:p w:rsidR="00AE05F7" w:rsidRDefault="00AE05F7" w:rsidP="00AE05F7">
            <w:r>
              <w:t>ex6908.90</w:t>
            </w:r>
          </w:p>
          <w:p w:rsidR="00AE05F7" w:rsidRDefault="00AE05F7" w:rsidP="00AE05F7"/>
          <w:p w:rsidR="00AE05F7" w:rsidRDefault="00AE05F7" w:rsidP="00AE05F7">
            <w:r>
              <w:t>ex6907.10</w:t>
            </w:r>
          </w:p>
          <w:p w:rsidR="00AE05F7" w:rsidRDefault="00AE05F7" w:rsidP="00AE05F7">
            <w:r>
              <w:t>ex6907.90</w:t>
            </w:r>
          </w:p>
          <w:p w:rsidR="00AE05F7" w:rsidRDefault="00AE05F7" w:rsidP="00AE05F7">
            <w:r>
              <w:t>ex6908.10</w:t>
            </w:r>
          </w:p>
          <w:p w:rsidR="00AE05F7" w:rsidRDefault="00AE05F7" w:rsidP="00AE05F7">
            <w:r>
              <w:t>ex6908.90</w:t>
            </w:r>
          </w:p>
          <w:p w:rsidR="00AE05F7" w:rsidRDefault="00AE05F7" w:rsidP="00AE05F7">
            <w:pPr>
              <w:rPr>
                <w:lang w:val="en-GB"/>
              </w:rPr>
            </w:pPr>
          </w:p>
          <w:p w:rsidR="00AE05F7" w:rsidRDefault="00AE05F7" w:rsidP="00AE05F7">
            <w:pPr>
              <w:rPr>
                <w:lang w:val="en-GB"/>
              </w:rPr>
            </w:pPr>
            <w:r>
              <w:rPr>
                <w:lang w:val="en-GB"/>
              </w:rPr>
              <w:t xml:space="preserve">etc. </w:t>
            </w:r>
          </w:p>
        </w:tc>
        <w:tc>
          <w:tcPr>
            <w:tcW w:w="4989" w:type="dxa"/>
          </w:tcPr>
          <w:p w:rsidR="00AE05F7" w:rsidRPr="00AE05F7" w:rsidRDefault="00AE05F7" w:rsidP="00AE05F7">
            <w:pPr>
              <w:rPr>
                <w:lang w:val="en-GB"/>
              </w:rPr>
            </w:pPr>
            <w:r w:rsidRPr="00AE05F7">
              <w:rPr>
                <w:lang w:val="en-GB"/>
              </w:rPr>
              <w:t>The present structure of headings 69.07 and 69.08 has become obsolete and has been revised based on industry practice.</w:t>
            </w:r>
          </w:p>
        </w:tc>
      </w:tr>
    </w:tbl>
    <w:p w:rsidR="008A5179" w:rsidRDefault="008A5179">
      <w:pPr>
        <w:rPr>
          <w:lang w:val="en-GB"/>
        </w:rPr>
      </w:pPr>
      <w:r>
        <w:rPr>
          <w:lang w:val="en-GB"/>
        </w:rPr>
        <w:br w:type="page"/>
      </w:r>
    </w:p>
    <w:p w:rsidR="00600069" w:rsidRPr="00987424" w:rsidRDefault="00987424" w:rsidP="00AE05F7">
      <w:pPr>
        <w:ind w:left="-142"/>
        <w:rPr>
          <w:b/>
          <w:sz w:val="24"/>
          <w:lang w:val="en-GB"/>
        </w:rPr>
      </w:pPr>
      <w:r>
        <w:rPr>
          <w:b/>
          <w:sz w:val="24"/>
          <w:lang w:val="en-GB"/>
        </w:rPr>
        <w:lastRenderedPageBreak/>
        <w:t>2</w:t>
      </w:r>
      <w:r w:rsidR="00600069" w:rsidRPr="00987424">
        <w:rPr>
          <w:b/>
          <w:sz w:val="24"/>
          <w:lang w:val="en-GB"/>
        </w:rPr>
        <w:t>) Correspondence table between NACE Rev. 2 and the US activity classification NAICS 2017</w:t>
      </w:r>
    </w:p>
    <w:tbl>
      <w:tblPr>
        <w:tblW w:w="9214" w:type="dxa"/>
        <w:tblInd w:w="108" w:type="dxa"/>
        <w:tblLook w:val="04A0" w:firstRow="1" w:lastRow="0" w:firstColumn="1" w:lastColumn="0" w:noHBand="0" w:noVBand="1"/>
      </w:tblPr>
      <w:tblGrid>
        <w:gridCol w:w="880"/>
        <w:gridCol w:w="2160"/>
        <w:gridCol w:w="1060"/>
        <w:gridCol w:w="2200"/>
        <w:gridCol w:w="2914"/>
      </w:tblGrid>
      <w:tr w:rsidR="00600069" w:rsidRPr="00600069" w:rsidTr="00600069">
        <w:trPr>
          <w:cantSplit/>
          <w:trHeight w:val="315"/>
        </w:trPr>
        <w:tc>
          <w:tcPr>
            <w:tcW w:w="880" w:type="dxa"/>
            <w:tcBorders>
              <w:top w:val="nil"/>
              <w:left w:val="nil"/>
              <w:bottom w:val="nil"/>
              <w:right w:val="nil"/>
            </w:tcBorders>
            <w:shd w:val="clear" w:color="auto" w:fill="FFFF00"/>
            <w:hideMark/>
          </w:tcPr>
          <w:p w:rsidR="00600069" w:rsidRPr="00600069" w:rsidRDefault="00600069" w:rsidP="00600069">
            <w:pPr>
              <w:spacing w:after="0" w:line="240" w:lineRule="auto"/>
              <w:jc w:val="center"/>
              <w:rPr>
                <w:rFonts w:ascii="Calibri" w:eastAsia="Times New Roman" w:hAnsi="Calibri" w:cs="Calibri"/>
                <w:b/>
                <w:color w:val="000000"/>
                <w:lang w:val="en-GB" w:eastAsia="en-GB"/>
              </w:rPr>
            </w:pPr>
          </w:p>
        </w:tc>
        <w:tc>
          <w:tcPr>
            <w:tcW w:w="2160" w:type="dxa"/>
            <w:tcBorders>
              <w:top w:val="nil"/>
              <w:left w:val="nil"/>
              <w:bottom w:val="nil"/>
              <w:right w:val="nil"/>
            </w:tcBorders>
            <w:shd w:val="clear" w:color="auto" w:fill="FFFF00"/>
            <w:hideMark/>
          </w:tcPr>
          <w:p w:rsidR="00600069" w:rsidRPr="00600069" w:rsidRDefault="00600069" w:rsidP="00600069">
            <w:pPr>
              <w:spacing w:after="0" w:line="240" w:lineRule="auto"/>
              <w:jc w:val="center"/>
              <w:rPr>
                <w:rFonts w:ascii="Calibri" w:eastAsia="Times New Roman" w:hAnsi="Calibri" w:cs="Calibri"/>
                <w:b/>
                <w:color w:val="000000"/>
                <w:lang w:val="en-GB" w:eastAsia="en-GB"/>
              </w:rPr>
            </w:pPr>
            <w:r w:rsidRPr="00600069">
              <w:rPr>
                <w:rFonts w:ascii="Calibri" w:eastAsia="Times New Roman" w:hAnsi="Calibri" w:cs="Calibri"/>
                <w:b/>
                <w:color w:val="000000"/>
                <w:lang w:val="en-GB" w:eastAsia="en-GB"/>
              </w:rPr>
              <w:t>NACE Rev. 2</w:t>
            </w:r>
          </w:p>
        </w:tc>
        <w:tc>
          <w:tcPr>
            <w:tcW w:w="1060" w:type="dxa"/>
            <w:tcBorders>
              <w:top w:val="nil"/>
              <w:left w:val="nil"/>
              <w:bottom w:val="nil"/>
              <w:right w:val="nil"/>
            </w:tcBorders>
            <w:shd w:val="clear" w:color="auto" w:fill="FFFF00"/>
            <w:vAlign w:val="center"/>
            <w:hideMark/>
          </w:tcPr>
          <w:p w:rsidR="00600069" w:rsidRPr="00600069" w:rsidRDefault="00600069" w:rsidP="00600069">
            <w:pPr>
              <w:spacing w:after="0" w:line="240" w:lineRule="auto"/>
              <w:jc w:val="center"/>
              <w:rPr>
                <w:rFonts w:ascii="Calibri" w:eastAsia="Times New Roman" w:hAnsi="Calibri" w:cs="Calibri"/>
                <w:b/>
                <w:color w:val="000000"/>
                <w:lang w:val="en-GB" w:eastAsia="en-GB"/>
              </w:rPr>
            </w:pPr>
          </w:p>
        </w:tc>
        <w:tc>
          <w:tcPr>
            <w:tcW w:w="2200" w:type="dxa"/>
            <w:tcBorders>
              <w:top w:val="nil"/>
              <w:left w:val="nil"/>
              <w:bottom w:val="nil"/>
              <w:right w:val="nil"/>
            </w:tcBorders>
            <w:shd w:val="clear" w:color="auto" w:fill="FFFF00"/>
            <w:hideMark/>
          </w:tcPr>
          <w:p w:rsidR="00600069" w:rsidRPr="00600069" w:rsidRDefault="00600069" w:rsidP="00600069">
            <w:pPr>
              <w:spacing w:after="0" w:line="240" w:lineRule="auto"/>
              <w:jc w:val="center"/>
              <w:rPr>
                <w:rFonts w:ascii="Calibri" w:eastAsia="Times New Roman" w:hAnsi="Calibri" w:cs="Calibri"/>
                <w:b/>
                <w:color w:val="000000"/>
                <w:lang w:val="en-GB" w:eastAsia="en-GB"/>
              </w:rPr>
            </w:pPr>
            <w:r w:rsidRPr="00600069">
              <w:rPr>
                <w:rFonts w:ascii="Calibri" w:eastAsia="Times New Roman" w:hAnsi="Calibri" w:cs="Calibri"/>
                <w:b/>
                <w:color w:val="000000"/>
                <w:lang w:val="en-GB" w:eastAsia="en-GB"/>
              </w:rPr>
              <w:t>US NAICS 2017</w:t>
            </w:r>
          </w:p>
        </w:tc>
        <w:tc>
          <w:tcPr>
            <w:tcW w:w="2914" w:type="dxa"/>
            <w:tcBorders>
              <w:top w:val="nil"/>
              <w:left w:val="nil"/>
              <w:bottom w:val="nil"/>
              <w:right w:val="nil"/>
            </w:tcBorders>
            <w:shd w:val="clear" w:color="auto" w:fill="FFFF00"/>
            <w:hideMark/>
          </w:tcPr>
          <w:p w:rsidR="00600069" w:rsidRPr="00600069" w:rsidRDefault="00600069" w:rsidP="00600069">
            <w:pPr>
              <w:spacing w:after="0" w:line="240" w:lineRule="auto"/>
              <w:jc w:val="center"/>
              <w:rPr>
                <w:rFonts w:ascii="Calibri" w:eastAsia="Times New Roman" w:hAnsi="Calibri" w:cs="Calibri"/>
                <w:b/>
                <w:color w:val="000000"/>
                <w:lang w:val="en-GB" w:eastAsia="en-GB"/>
              </w:rPr>
            </w:pPr>
            <w:r w:rsidRPr="00600069">
              <w:rPr>
                <w:rFonts w:ascii="Calibri" w:eastAsia="Times New Roman" w:hAnsi="Calibri" w:cs="Calibri"/>
                <w:b/>
                <w:color w:val="000000"/>
                <w:lang w:val="en-GB" w:eastAsia="en-GB"/>
              </w:rPr>
              <w:t>Notes</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332420</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Metal Tank (Heavy Gauge)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Industrial autoclaves, fractioning columns, gas absorbers</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332919</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Other Metal Valve and Pipe Fitting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Lawn sprinklers</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333120</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Construction Machinery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Highway line painting equipment (spraying equipment)</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333241</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Food Product Machinery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Beverage distilling machinery</w:t>
            </w:r>
          </w:p>
        </w:tc>
      </w:tr>
      <w:tr w:rsidR="00600069" w:rsidRPr="00600069" w:rsidTr="00A127FF">
        <w:trPr>
          <w:cantSplit/>
          <w:trHeight w:val="630"/>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333249</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Other Industrial Machinery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Calendering machinery for textiles; distilling equipment, except beverage and laboratory types</w:t>
            </w:r>
          </w:p>
        </w:tc>
      </w:tr>
      <w:tr w:rsidR="00600069" w:rsidRPr="00600069" w:rsidTr="00A127FF">
        <w:trPr>
          <w:cantSplit/>
          <w:trHeight w:val="1260"/>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333318</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Other Commercial and Service Industry Machinery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Except electrical teaching machines, brake service machinery, portable floor sanding machines, commercial food service equipment, car washing machinery, wheel alignment and tire balancing equipment, carnival and amusement rides, type specific flight simulators and mechanical carpet sweepers</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333912</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Air and Gas Compressor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Airless paint spraying systems, manual pump sprayers</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333991</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Power-Driven Handtool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Pneumatic spray guns</w:t>
            </w:r>
          </w:p>
        </w:tc>
      </w:tr>
      <w:tr w:rsidR="00600069" w:rsidRPr="00600069" w:rsidTr="00A127FF">
        <w:trPr>
          <w:cantSplit/>
          <w:trHeight w:val="630"/>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333992</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Welding and Soldering Equipment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Except electrical welding and soldering equipment, welding rods and electrodes, and arc welding transformers</w:t>
            </w:r>
          </w:p>
        </w:tc>
      </w:tr>
      <w:tr w:rsidR="00600069" w:rsidRPr="00600069" w:rsidTr="00A127FF">
        <w:trPr>
          <w:cantSplit/>
          <w:trHeight w:val="315"/>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333993</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Packaging Machinery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p>
        </w:tc>
      </w:tr>
      <w:tr w:rsidR="00600069" w:rsidRPr="00600069" w:rsidTr="00A127FF">
        <w:trPr>
          <w:cantSplit/>
          <w:trHeight w:val="630"/>
        </w:trPr>
        <w:tc>
          <w:tcPr>
            <w:tcW w:w="88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28.29</w:t>
            </w:r>
          </w:p>
        </w:tc>
        <w:tc>
          <w:tcPr>
            <w:tcW w:w="216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Manufacture of other general-purpose machinery n.e.c.</w:t>
            </w:r>
          </w:p>
        </w:tc>
        <w:tc>
          <w:tcPr>
            <w:tcW w:w="1060" w:type="dxa"/>
            <w:tcBorders>
              <w:top w:val="nil"/>
              <w:left w:val="nil"/>
              <w:bottom w:val="nil"/>
              <w:right w:val="nil"/>
            </w:tcBorders>
            <w:shd w:val="clear" w:color="auto" w:fill="auto"/>
            <w:hideMark/>
          </w:tcPr>
          <w:p w:rsidR="00600069" w:rsidRPr="00600069" w:rsidRDefault="00600069" w:rsidP="00987424">
            <w:pPr>
              <w:spacing w:after="0" w:line="240" w:lineRule="auto"/>
              <w:jc w:val="center"/>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333997</w:t>
            </w:r>
          </w:p>
        </w:tc>
        <w:tc>
          <w:tcPr>
            <w:tcW w:w="2200"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Scale and Balance Manufacturing</w:t>
            </w:r>
          </w:p>
        </w:tc>
        <w:tc>
          <w:tcPr>
            <w:tcW w:w="2914" w:type="dxa"/>
            <w:tcBorders>
              <w:top w:val="nil"/>
              <w:left w:val="nil"/>
              <w:bottom w:val="nil"/>
              <w:right w:val="nil"/>
            </w:tcBorders>
            <w:shd w:val="clear" w:color="auto" w:fill="auto"/>
            <w:hideMark/>
          </w:tcPr>
          <w:p w:rsidR="00600069" w:rsidRPr="00600069" w:rsidRDefault="00600069" w:rsidP="00A127FF">
            <w:pPr>
              <w:spacing w:after="0" w:line="240" w:lineRule="auto"/>
              <w:rPr>
                <w:rFonts w:ascii="Calibri" w:eastAsia="Times New Roman" w:hAnsi="Calibri" w:cs="Calibri"/>
                <w:color w:val="000000"/>
                <w:lang w:val="en-GB" w:eastAsia="en-GB"/>
              </w:rPr>
            </w:pPr>
            <w:r w:rsidRPr="00600069">
              <w:rPr>
                <w:rFonts w:ascii="Calibri" w:eastAsia="Times New Roman" w:hAnsi="Calibri" w:cs="Calibri"/>
                <w:color w:val="000000"/>
                <w:lang w:val="en-GB" w:eastAsia="en-GB"/>
              </w:rPr>
              <w:t>Except laboratory scales and balances, incubators, and miscellaneous measuring devices for laboratories</w:t>
            </w:r>
          </w:p>
        </w:tc>
      </w:tr>
    </w:tbl>
    <w:p w:rsidR="00600069" w:rsidRDefault="00600069" w:rsidP="00AE05F7">
      <w:pPr>
        <w:ind w:left="-142"/>
        <w:rPr>
          <w:lang w:val="en-GB"/>
        </w:rPr>
      </w:pPr>
    </w:p>
    <w:p w:rsidR="00987424" w:rsidRDefault="00987424">
      <w:pPr>
        <w:rPr>
          <w:lang w:val="en-GB"/>
        </w:rPr>
      </w:pPr>
      <w:r>
        <w:rPr>
          <w:lang w:val="en-GB"/>
        </w:rPr>
        <w:br w:type="page"/>
      </w:r>
    </w:p>
    <w:p w:rsidR="00987424" w:rsidRPr="00987424" w:rsidRDefault="00987424" w:rsidP="00AE05F7">
      <w:pPr>
        <w:ind w:left="-142"/>
        <w:rPr>
          <w:b/>
          <w:sz w:val="24"/>
          <w:lang w:val="en-GB"/>
        </w:rPr>
      </w:pPr>
      <w:r>
        <w:rPr>
          <w:b/>
          <w:sz w:val="24"/>
          <w:lang w:val="en-GB"/>
        </w:rPr>
        <w:lastRenderedPageBreak/>
        <w:t>3</w:t>
      </w:r>
      <w:r w:rsidRPr="00987424">
        <w:rPr>
          <w:b/>
          <w:sz w:val="24"/>
          <w:lang w:val="en-GB"/>
        </w:rPr>
        <w:t>) Correspondence table between CPA 2.1 and CN 2020</w:t>
      </w:r>
    </w:p>
    <w:p w:rsidR="00987424" w:rsidRDefault="00987424" w:rsidP="00987424">
      <w:pPr>
        <w:ind w:left="-142"/>
        <w:jc w:val="both"/>
        <w:rPr>
          <w:lang w:val="en-GB"/>
        </w:rPr>
      </w:pPr>
      <w:r w:rsidRPr="00987424">
        <w:rPr>
          <w:lang w:val="en-GB"/>
        </w:rPr>
        <w:t>information on the status of the links; in general correspondence tables between international standard classifications list all possible links between the source and target classifications but do not specify whether some links are more important than others, simply because such correspondence tables are all-purpose concordances and it is not known for which specific purpose they will be used by analysts and researchers. However some correspondence tables may assign different status to the links present in a correspondence table, considering some links as primary links and others as secondary links. This information can be very useful for users who in general are not classification experts and are happy not to have to do this work themselves.</w:t>
      </w:r>
      <w:r>
        <w:rPr>
          <w:lang w:val="en-GB"/>
        </w:rPr>
        <w:t xml:space="preserve"> When the relative importance of each of the codes has been assessed</w:t>
      </w:r>
      <w:r w:rsidR="00204DD6">
        <w:rPr>
          <w:lang w:val="en-GB"/>
        </w:rPr>
        <w:t xml:space="preserve"> more precisely</w:t>
      </w:r>
      <w:r>
        <w:rPr>
          <w:lang w:val="en-GB"/>
        </w:rPr>
        <w:t>, the “link type” is called “weight” and represented as a percentage</w:t>
      </w:r>
      <w:r w:rsidR="00204DD6">
        <w:rPr>
          <w:lang w:val="en-GB"/>
        </w:rPr>
        <w:t>.</w:t>
      </w:r>
      <w:bookmarkStart w:id="0" w:name="_GoBack"/>
      <w:bookmarkEnd w:id="0"/>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33"/>
        <w:gridCol w:w="1701"/>
        <w:gridCol w:w="1701"/>
      </w:tblGrid>
      <w:tr w:rsidR="00987424" w:rsidRPr="00987424" w:rsidTr="00987424">
        <w:trPr>
          <w:tblHeader/>
          <w:tblCellSpacing w:w="0" w:type="dxa"/>
        </w:trPr>
        <w:tc>
          <w:tcPr>
            <w:tcW w:w="143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7424" w:rsidRPr="00987424" w:rsidRDefault="00987424" w:rsidP="00987424">
            <w:pPr>
              <w:spacing w:after="0" w:line="240" w:lineRule="auto"/>
              <w:jc w:val="center"/>
              <w:rPr>
                <w:rFonts w:eastAsia="Times New Roman" w:cstheme="minorHAnsi"/>
                <w:bCs/>
                <w:szCs w:val="24"/>
                <w:lang w:val="en-GB" w:eastAsia="en-GB"/>
              </w:rPr>
            </w:pPr>
            <w:r w:rsidRPr="00987424">
              <w:rPr>
                <w:rFonts w:eastAsia="Times New Roman" w:cstheme="minorHAnsi"/>
                <w:bCs/>
                <w:color w:val="000000"/>
                <w:szCs w:val="24"/>
                <w:lang w:val="en-GB" w:eastAsia="en-GB"/>
              </w:rPr>
              <w:t>CPA 2.1</w:t>
            </w:r>
          </w:p>
        </w:tc>
        <w:tc>
          <w:tcPr>
            <w:tcW w:w="170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7424" w:rsidRPr="00987424" w:rsidRDefault="00987424" w:rsidP="00987424">
            <w:pPr>
              <w:spacing w:after="0" w:line="240" w:lineRule="auto"/>
              <w:jc w:val="center"/>
              <w:rPr>
                <w:rFonts w:eastAsia="Times New Roman" w:cstheme="minorHAnsi"/>
                <w:bCs/>
                <w:szCs w:val="24"/>
                <w:lang w:val="en-GB" w:eastAsia="en-GB"/>
              </w:rPr>
            </w:pPr>
            <w:r w:rsidRPr="00987424">
              <w:rPr>
                <w:rFonts w:eastAsia="Times New Roman" w:cstheme="minorHAnsi"/>
                <w:bCs/>
                <w:color w:val="000000"/>
                <w:szCs w:val="24"/>
                <w:lang w:val="en-GB" w:eastAsia="en-GB"/>
              </w:rPr>
              <w:t>CN 2020</w:t>
            </w:r>
          </w:p>
        </w:tc>
        <w:tc>
          <w:tcPr>
            <w:tcW w:w="170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7424" w:rsidRPr="00987424" w:rsidRDefault="00987424" w:rsidP="00987424">
            <w:pPr>
              <w:spacing w:after="0" w:line="240" w:lineRule="auto"/>
              <w:jc w:val="center"/>
              <w:rPr>
                <w:rFonts w:eastAsia="Times New Roman" w:cstheme="minorHAnsi"/>
                <w:bCs/>
                <w:szCs w:val="24"/>
                <w:lang w:val="en-GB" w:eastAsia="en-GB"/>
              </w:rPr>
            </w:pPr>
            <w:r w:rsidRPr="00987424">
              <w:rPr>
                <w:rFonts w:eastAsia="Times New Roman" w:cstheme="minorHAnsi"/>
                <w:bCs/>
                <w:color w:val="000000"/>
                <w:szCs w:val="24"/>
                <w:lang w:val="en-GB" w:eastAsia="en-GB"/>
              </w:rPr>
              <w:t>LINK_TYPE</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0306 31 00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1</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03.00.32</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0306 31 00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2</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0306 32 10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1</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03.00.32</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0306 32 10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2</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0306 32 91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1</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03.00.32</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0306 32 91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2</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0306 32 99</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1</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03.00.32</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0306 32 99</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2</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03.00.31</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0306 33 10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1</w:t>
            </w:r>
          </w:p>
        </w:tc>
      </w:tr>
      <w:tr w:rsidR="00987424" w:rsidRPr="00987424" w:rsidTr="00987424">
        <w:trPr>
          <w:tblCellSpacing w:w="0" w:type="dxa"/>
        </w:trPr>
        <w:tc>
          <w:tcPr>
            <w:tcW w:w="1433"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03.00.32</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0306 33 10</w:t>
            </w:r>
          </w:p>
        </w:tc>
        <w:tc>
          <w:tcPr>
            <w:tcW w:w="1701" w:type="dxa"/>
            <w:tcBorders>
              <w:top w:val="outset" w:sz="6" w:space="0" w:color="D0D7E5"/>
              <w:left w:val="outset" w:sz="6" w:space="0" w:color="D0D7E5"/>
              <w:bottom w:val="outset" w:sz="6" w:space="0" w:color="D0D7E5"/>
              <w:right w:val="outset" w:sz="6" w:space="0" w:color="D0D7E5"/>
            </w:tcBorders>
            <w:shd w:val="clear" w:color="auto" w:fill="FFFFFF"/>
            <w:hideMark/>
          </w:tcPr>
          <w:p w:rsidR="00987424" w:rsidRPr="00987424" w:rsidRDefault="00987424" w:rsidP="00987424">
            <w:pPr>
              <w:spacing w:after="0" w:line="240" w:lineRule="auto"/>
              <w:jc w:val="center"/>
              <w:rPr>
                <w:rFonts w:eastAsia="Times New Roman" w:cstheme="minorHAnsi"/>
                <w:szCs w:val="24"/>
                <w:lang w:val="en-GB" w:eastAsia="en-GB"/>
              </w:rPr>
            </w:pPr>
            <w:r w:rsidRPr="00987424">
              <w:rPr>
                <w:rFonts w:eastAsia="Times New Roman" w:cstheme="minorHAnsi"/>
                <w:bCs/>
                <w:color w:val="000000"/>
                <w:szCs w:val="24"/>
                <w:lang w:val="en-GB" w:eastAsia="en-GB"/>
              </w:rPr>
              <w:t>2</w:t>
            </w:r>
          </w:p>
        </w:tc>
      </w:tr>
    </w:tbl>
    <w:p w:rsidR="00987424" w:rsidRPr="00AE05F7" w:rsidRDefault="00987424" w:rsidP="00AE05F7">
      <w:pPr>
        <w:ind w:left="-142"/>
        <w:rPr>
          <w:lang w:val="en-GB"/>
        </w:rPr>
      </w:pPr>
    </w:p>
    <w:sectPr w:rsidR="00987424" w:rsidRPr="00AE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85428"/>
    <w:multiLevelType w:val="hybridMultilevel"/>
    <w:tmpl w:val="A84E3B92"/>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7A"/>
    <w:rsid w:val="000F657A"/>
    <w:rsid w:val="00130CDA"/>
    <w:rsid w:val="001817F2"/>
    <w:rsid w:val="00204DD6"/>
    <w:rsid w:val="00600069"/>
    <w:rsid w:val="00653E5D"/>
    <w:rsid w:val="00787A3D"/>
    <w:rsid w:val="008A5179"/>
    <w:rsid w:val="00987424"/>
    <w:rsid w:val="00A127FF"/>
    <w:rsid w:val="00AE05F7"/>
    <w:rsid w:val="00AF757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51F3"/>
  <w15:chartTrackingRefBased/>
  <w15:docId w15:val="{82BCAFFA-0302-434B-AD5C-F9FCA259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A5179"/>
    <w:rPr>
      <w:color w:val="0000FF"/>
      <w:u w:val="single"/>
    </w:rPr>
  </w:style>
  <w:style w:type="paragraph" w:styleId="ListParagraph">
    <w:name w:val="List Paragraph"/>
    <w:basedOn w:val="Normal"/>
    <w:uiPriority w:val="34"/>
    <w:qFormat/>
    <w:rsid w:val="00987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8748">
      <w:bodyDiv w:val="1"/>
      <w:marLeft w:val="0"/>
      <w:marRight w:val="0"/>
      <w:marTop w:val="0"/>
      <w:marBottom w:val="0"/>
      <w:divBdr>
        <w:top w:val="none" w:sz="0" w:space="0" w:color="auto"/>
        <w:left w:val="none" w:sz="0" w:space="0" w:color="auto"/>
        <w:bottom w:val="none" w:sz="0" w:space="0" w:color="auto"/>
        <w:right w:val="none" w:sz="0" w:space="0" w:color="auto"/>
      </w:divBdr>
    </w:div>
    <w:div w:id="853112726">
      <w:bodyDiv w:val="1"/>
      <w:marLeft w:val="0"/>
      <w:marRight w:val="0"/>
      <w:marTop w:val="0"/>
      <w:marBottom w:val="0"/>
      <w:divBdr>
        <w:top w:val="none" w:sz="0" w:space="0" w:color="auto"/>
        <w:left w:val="none" w:sz="0" w:space="0" w:color="auto"/>
        <w:bottom w:val="none" w:sz="0" w:space="0" w:color="auto"/>
        <w:right w:val="none" w:sz="0" w:space="0" w:color="auto"/>
      </w:divBdr>
    </w:div>
    <w:div w:id="1223322245">
      <w:bodyDiv w:val="1"/>
      <w:marLeft w:val="0"/>
      <w:marRight w:val="0"/>
      <w:marTop w:val="0"/>
      <w:marBottom w:val="0"/>
      <w:divBdr>
        <w:top w:val="none" w:sz="0" w:space="0" w:color="auto"/>
        <w:left w:val="none" w:sz="0" w:space="0" w:color="auto"/>
        <w:bottom w:val="none" w:sz="0" w:space="0" w:color="auto"/>
        <w:right w:val="none" w:sz="0" w:space="0" w:color="auto"/>
      </w:divBdr>
    </w:div>
    <w:div w:id="1311715072">
      <w:bodyDiv w:val="1"/>
      <w:marLeft w:val="0"/>
      <w:marRight w:val="0"/>
      <w:marTop w:val="0"/>
      <w:marBottom w:val="0"/>
      <w:divBdr>
        <w:top w:val="none" w:sz="0" w:space="0" w:color="auto"/>
        <w:left w:val="none" w:sz="0" w:space="0" w:color="auto"/>
        <w:bottom w:val="none" w:sz="0" w:space="0" w:color="auto"/>
        <w:right w:val="none" w:sz="0" w:space="0" w:color="auto"/>
      </w:divBdr>
    </w:div>
    <w:div w:id="19479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755</Words>
  <Characters>4379</Characters>
  <Application>Microsoft Office Word</Application>
  <DocSecurity>0</DocSecurity>
  <Lines>89</Lines>
  <Paragraphs>53</Paragraphs>
  <ScaleCrop>false</ScaleCrop>
  <Company>European Commission</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DELCAMBRE Danny (ESTAT)</dc:creator>
  <cp:keywords/>
  <dc:description/>
  <cp:lastModifiedBy>DELCAMBRE Danny (ESTAT)</cp:lastModifiedBy>
  <cp:revision>9</cp:revision>
  <dcterms:created xsi:type="dcterms:W3CDTF">2020-02-10T07:24:00Z</dcterms:created>
  <dcterms:modified xsi:type="dcterms:W3CDTF">2020-02-10T08:20:00Z</dcterms:modified>
</cp:coreProperties>
</file>