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FD36" w14:textId="7018A6C5" w:rsidR="00F73FAF" w:rsidRPr="005E31C8" w:rsidRDefault="00010106" w:rsidP="00CB04B4">
      <w:pPr>
        <w:jc w:val="both"/>
        <w:rPr>
          <w:i/>
          <w:iCs/>
          <w:lang w:val="en-US"/>
        </w:rPr>
      </w:pPr>
      <w:r w:rsidRPr="005E31C8">
        <w:rPr>
          <w:b/>
          <w:bCs/>
          <w:lang w:val="en-US"/>
        </w:rPr>
        <w:t>Course description</w:t>
      </w:r>
      <w:r w:rsidR="00CB04B4" w:rsidRPr="005E31C8">
        <w:rPr>
          <w:b/>
          <w:bCs/>
          <w:lang w:val="en-US"/>
        </w:rPr>
        <w:t xml:space="preserve"> </w:t>
      </w:r>
      <w:r w:rsidR="00CB04B4" w:rsidRPr="005E31C8">
        <w:rPr>
          <w:i/>
          <w:iCs/>
          <w:lang w:val="en-US"/>
        </w:rPr>
        <w:t>(</w:t>
      </w:r>
      <w:r w:rsidRPr="005E31C8">
        <w:rPr>
          <w:i/>
          <w:iCs/>
          <w:lang w:val="en-US"/>
        </w:rPr>
        <w:t>structured according to decree</w:t>
      </w:r>
      <w:r w:rsidR="00CB04B4" w:rsidRPr="005E31C8">
        <w:rPr>
          <w:i/>
          <w:iCs/>
          <w:lang w:val="en-US"/>
        </w:rPr>
        <w:t xml:space="preserve"> </w:t>
      </w:r>
      <w:r w:rsidRPr="005E31C8">
        <w:rPr>
          <w:i/>
          <w:iCs/>
          <w:lang w:val="en-US"/>
        </w:rPr>
        <w:t>nb</w:t>
      </w:r>
      <w:r w:rsidR="00CB04B4" w:rsidRPr="005E31C8">
        <w:rPr>
          <w:i/>
          <w:iCs/>
          <w:lang w:val="en-US"/>
        </w:rPr>
        <w:t>. 614/2002 Z</w:t>
      </w:r>
      <w:r w:rsidR="00614E0B" w:rsidRPr="005E31C8">
        <w:rPr>
          <w:i/>
          <w:iCs/>
          <w:lang w:val="en-US"/>
        </w:rPr>
        <w:t xml:space="preserve"> </w:t>
      </w:r>
      <w:r w:rsidR="00CB04B4" w:rsidRPr="005E31C8">
        <w:rPr>
          <w:i/>
          <w:iCs/>
          <w:lang w:val="en-US"/>
        </w:rPr>
        <w:t>.z.)</w:t>
      </w:r>
    </w:p>
    <w:p w14:paraId="423FE8FE" w14:textId="77777777" w:rsidR="00F73FAF" w:rsidRPr="005E31C8" w:rsidRDefault="00F73FAF" w:rsidP="00F73FAF">
      <w:pPr>
        <w:ind w:left="720"/>
        <w:jc w:val="center"/>
        <w:rPr>
          <w:lang w:val="en-US"/>
        </w:rPr>
      </w:pPr>
    </w:p>
    <w:tbl>
      <w:tblPr>
        <w:tblStyle w:val="Mriekatabuky"/>
        <w:tblW w:w="9322" w:type="dxa"/>
        <w:tblInd w:w="0" w:type="dxa"/>
        <w:tblLook w:val="00A0" w:firstRow="1" w:lastRow="0" w:firstColumn="1" w:lastColumn="0" w:noHBand="0" w:noVBand="0"/>
      </w:tblPr>
      <w:tblGrid>
        <w:gridCol w:w="4110"/>
        <w:gridCol w:w="5212"/>
      </w:tblGrid>
      <w:tr w:rsidR="00F73FAF" w:rsidRPr="00271FD6" w14:paraId="55E6B286" w14:textId="77777777" w:rsidTr="00E4298B">
        <w:tc>
          <w:tcPr>
            <w:tcW w:w="9322" w:type="dxa"/>
            <w:gridSpan w:val="2"/>
          </w:tcPr>
          <w:p w14:paraId="28DA3317" w14:textId="61FE040C" w:rsidR="00F73FAF" w:rsidRPr="00271FD6" w:rsidRDefault="00010106" w:rsidP="00E4298B">
            <w:pPr>
              <w:rPr>
                <w:lang w:val="en-US"/>
              </w:rPr>
            </w:pPr>
            <w:r w:rsidRPr="00271FD6">
              <w:rPr>
                <w:b/>
                <w:bCs/>
                <w:lang w:val="en-US"/>
              </w:rPr>
              <w:t>University</w:t>
            </w:r>
            <w:r w:rsidR="00F73FAF" w:rsidRPr="00271FD6">
              <w:rPr>
                <w:b/>
                <w:bCs/>
                <w:lang w:val="en-US"/>
              </w:rPr>
              <w:t>:</w:t>
            </w:r>
            <w:r w:rsidR="00F73FAF" w:rsidRPr="00271FD6">
              <w:rPr>
                <w:lang w:val="en-US"/>
              </w:rPr>
              <w:t xml:space="preserve"> </w:t>
            </w:r>
            <w:r w:rsidR="00CB04B4" w:rsidRPr="00271FD6">
              <w:rPr>
                <w:color w:val="000000"/>
                <w:shd w:val="clear" w:color="auto" w:fill="FFFFFF"/>
                <w:lang w:val="en-US"/>
              </w:rPr>
              <w:t> </w:t>
            </w:r>
            <w:r w:rsidRPr="00271FD6">
              <w:rPr>
                <w:color w:val="000000"/>
                <w:shd w:val="clear" w:color="auto" w:fill="FFFFFF"/>
                <w:lang w:val="en-US"/>
              </w:rPr>
              <w:t>Comenius University in Bratislava</w:t>
            </w:r>
          </w:p>
        </w:tc>
      </w:tr>
      <w:tr w:rsidR="00F73FAF" w:rsidRPr="00271FD6" w14:paraId="6E5DF0CD" w14:textId="77777777" w:rsidTr="00E4298B">
        <w:tc>
          <w:tcPr>
            <w:tcW w:w="9322" w:type="dxa"/>
            <w:gridSpan w:val="2"/>
          </w:tcPr>
          <w:p w14:paraId="0E5BAF3A" w14:textId="0E10C296" w:rsidR="00F73FAF" w:rsidRPr="00271FD6" w:rsidRDefault="00010106" w:rsidP="00E4298B">
            <w:pPr>
              <w:rPr>
                <w:lang w:val="en-US"/>
              </w:rPr>
            </w:pPr>
            <w:r w:rsidRPr="00271FD6">
              <w:rPr>
                <w:b/>
                <w:bCs/>
                <w:lang w:val="en-US"/>
              </w:rPr>
              <w:t>Faculty</w:t>
            </w:r>
            <w:r w:rsidR="00F73FAF" w:rsidRPr="00271FD6">
              <w:rPr>
                <w:b/>
                <w:bCs/>
                <w:lang w:val="en-US"/>
              </w:rPr>
              <w:t>:</w:t>
            </w:r>
            <w:r w:rsidR="00F73FAF" w:rsidRPr="00271FD6">
              <w:rPr>
                <w:lang w:val="en-US"/>
              </w:rPr>
              <w:t xml:space="preserve"> </w:t>
            </w:r>
            <w:r w:rsidRPr="00271FD6">
              <w:rPr>
                <w:lang w:val="en-US"/>
              </w:rPr>
              <w:t>Faculty of Natural Sciences</w:t>
            </w:r>
          </w:p>
        </w:tc>
      </w:tr>
      <w:tr w:rsidR="00F73FAF" w:rsidRPr="00271FD6" w14:paraId="56F83F16" w14:textId="77777777" w:rsidTr="00E4298B">
        <w:tc>
          <w:tcPr>
            <w:tcW w:w="4110" w:type="dxa"/>
          </w:tcPr>
          <w:p w14:paraId="24EBD32C" w14:textId="75D4342C" w:rsidR="00F73FAF" w:rsidRPr="00271FD6" w:rsidRDefault="00010106" w:rsidP="00E4298B">
            <w:pPr>
              <w:rPr>
                <w:i/>
                <w:iCs/>
                <w:lang w:val="en-US"/>
              </w:rPr>
            </w:pPr>
            <w:r w:rsidRPr="00271FD6">
              <w:rPr>
                <w:b/>
                <w:bCs/>
                <w:lang w:val="en-US"/>
              </w:rPr>
              <w:t>Code</w:t>
            </w:r>
            <w:r w:rsidR="00F73FAF" w:rsidRPr="00271FD6">
              <w:rPr>
                <w:b/>
                <w:bCs/>
                <w:lang w:val="en-US"/>
              </w:rPr>
              <w:t>:</w:t>
            </w:r>
            <w:r w:rsidR="00F73FAF" w:rsidRPr="00271FD6">
              <w:rPr>
                <w:lang w:val="en-US"/>
              </w:rPr>
              <w:t xml:space="preserve"> </w:t>
            </w:r>
            <w:r w:rsidR="00A862A1" w:rsidRPr="00A862A1">
              <w:rPr>
                <w:rFonts w:ascii="Trebuchet MS" w:hAnsi="Trebuchet MS"/>
                <w:i/>
                <w:iCs/>
                <w:sz w:val="20"/>
                <w:szCs w:val="20"/>
                <w:lang w:val="sk-SK"/>
              </w:rPr>
              <w:t>PriF.KIHG/N-mGIH-100/15</w:t>
            </w:r>
          </w:p>
        </w:tc>
        <w:tc>
          <w:tcPr>
            <w:tcW w:w="5212" w:type="dxa"/>
          </w:tcPr>
          <w:p w14:paraId="06110BA4" w14:textId="63317D2A" w:rsidR="00F73FAF" w:rsidRPr="00271FD6" w:rsidRDefault="00010106" w:rsidP="00172E56">
            <w:pPr>
              <w:rPr>
                <w:b/>
                <w:bCs/>
                <w:i/>
                <w:iCs/>
                <w:lang w:val="en-US"/>
              </w:rPr>
            </w:pPr>
            <w:r w:rsidRPr="00271FD6">
              <w:rPr>
                <w:b/>
                <w:bCs/>
                <w:lang w:val="en-US"/>
              </w:rPr>
              <w:t>Course</w:t>
            </w:r>
            <w:r w:rsidR="00F73FAF" w:rsidRPr="00271FD6">
              <w:rPr>
                <w:b/>
                <w:bCs/>
                <w:lang w:val="en-US"/>
              </w:rPr>
              <w:t xml:space="preserve">: </w:t>
            </w:r>
            <w:r w:rsidR="001D4650">
              <w:rPr>
                <w:shd w:val="clear" w:color="auto" w:fill="FFFFFF"/>
                <w:lang w:val="sk-SK"/>
              </w:rPr>
              <w:t xml:space="preserve">Engineering Geological </w:t>
            </w:r>
            <w:r w:rsidR="000922C7">
              <w:rPr>
                <w:shd w:val="clear" w:color="auto" w:fill="FFFFFF"/>
                <w:lang w:val="sk-SK"/>
              </w:rPr>
              <w:t>Research and Survey</w:t>
            </w:r>
          </w:p>
        </w:tc>
      </w:tr>
      <w:tr w:rsidR="00F73FAF" w:rsidRPr="00271FD6" w14:paraId="39B97140" w14:textId="77777777" w:rsidTr="00E4298B">
        <w:trPr>
          <w:trHeight w:val="1110"/>
        </w:trPr>
        <w:tc>
          <w:tcPr>
            <w:tcW w:w="9322" w:type="dxa"/>
            <w:gridSpan w:val="2"/>
          </w:tcPr>
          <w:p w14:paraId="60A32F02" w14:textId="2A43F396" w:rsidR="00010106" w:rsidRDefault="00010106" w:rsidP="00A862A1">
            <w:pPr>
              <w:pStyle w:val="Normlnywebov"/>
              <w:rPr>
                <w:shd w:val="clear" w:color="auto" w:fill="FFFFFF"/>
                <w:lang w:val="en-US"/>
              </w:rPr>
            </w:pPr>
            <w:r w:rsidRPr="00271FD6">
              <w:rPr>
                <w:b/>
                <w:bCs/>
                <w:lang w:val="en-US"/>
              </w:rPr>
              <w:t>Study design</w:t>
            </w:r>
            <w:r w:rsidR="00F73FAF" w:rsidRPr="00271FD6">
              <w:rPr>
                <w:b/>
                <w:bCs/>
                <w:lang w:val="en-US"/>
              </w:rPr>
              <w:t>:</w:t>
            </w:r>
            <w:r w:rsidR="005B1106" w:rsidRPr="00271FD6">
              <w:rPr>
                <w:b/>
                <w:bCs/>
                <w:lang w:val="en-US"/>
              </w:rPr>
              <w:t xml:space="preserve"> </w:t>
            </w:r>
            <w:r w:rsidR="00A862A1">
              <w:rPr>
                <w:color w:val="000000"/>
              </w:rPr>
              <w:t>2</w:t>
            </w:r>
            <w:r w:rsidR="00A862A1" w:rsidRPr="00A862A1">
              <w:rPr>
                <w:color w:val="000000"/>
              </w:rPr>
              <w:t xml:space="preserve"> hour</w:t>
            </w:r>
            <w:r w:rsidR="00A862A1">
              <w:rPr>
                <w:color w:val="000000"/>
              </w:rPr>
              <w:t>s</w:t>
            </w:r>
            <w:r w:rsidR="00A862A1" w:rsidRPr="00A862A1">
              <w:rPr>
                <w:color w:val="000000"/>
              </w:rPr>
              <w:t xml:space="preserve"> lesson and </w:t>
            </w:r>
            <w:r w:rsidR="00A862A1">
              <w:rPr>
                <w:color w:val="000000"/>
              </w:rPr>
              <w:t>2</w:t>
            </w:r>
            <w:r w:rsidR="00A862A1" w:rsidRPr="00A862A1">
              <w:rPr>
                <w:color w:val="000000"/>
              </w:rPr>
              <w:t xml:space="preserve"> hour</w:t>
            </w:r>
            <w:r w:rsidR="00A862A1">
              <w:rPr>
                <w:color w:val="000000"/>
              </w:rPr>
              <w:t>s</w:t>
            </w:r>
            <w:r w:rsidR="00A862A1" w:rsidRPr="00A862A1">
              <w:rPr>
                <w:color w:val="000000"/>
              </w:rPr>
              <w:t xml:space="preserve"> exercise weekly</w:t>
            </w:r>
            <w:r w:rsidR="00A862A1" w:rsidRPr="00A862A1">
              <w:rPr>
                <w:color w:val="000000"/>
              </w:rPr>
              <w:t xml:space="preserve">, </w:t>
            </w:r>
            <w:r w:rsidR="00A862A1" w:rsidRPr="00A862A1">
              <w:rPr>
                <w:color w:val="000000"/>
              </w:rPr>
              <w:t>personal attendance</w:t>
            </w:r>
            <w:r w:rsidRPr="00271FD6">
              <w:rPr>
                <w:shd w:val="clear" w:color="auto" w:fill="FFFFFF"/>
                <w:lang w:val="en-US"/>
              </w:rPr>
              <w:t xml:space="preserve"> </w:t>
            </w:r>
          </w:p>
          <w:p w14:paraId="772036AE" w14:textId="13ED5F06" w:rsidR="00271FD6" w:rsidRPr="00271FD6" w:rsidRDefault="00271FD6" w:rsidP="005B1106">
            <w:pPr>
              <w:jc w:val="both"/>
              <w:rPr>
                <w:b/>
                <w:bCs/>
                <w:shd w:val="clear" w:color="auto" w:fill="FFFFFF"/>
                <w:lang w:val="en-US"/>
              </w:rPr>
            </w:pPr>
            <w:r w:rsidRPr="00271FD6">
              <w:rPr>
                <w:b/>
                <w:bCs/>
                <w:shd w:val="clear" w:color="auto" w:fill="FFFFFF"/>
                <w:lang w:val="en-US"/>
              </w:rPr>
              <w:t>Education form:</w:t>
            </w:r>
            <w:r w:rsidRPr="00271FD6">
              <w:rPr>
                <w:shd w:val="clear" w:color="auto" w:fill="FFFFFF"/>
                <w:lang w:val="en-US"/>
              </w:rPr>
              <w:t xml:space="preserve"> </w:t>
            </w:r>
            <w:r w:rsidR="00A862A1">
              <w:rPr>
                <w:b/>
                <w:bCs/>
                <w:shd w:val="clear" w:color="auto" w:fill="FFFFFF"/>
                <w:lang w:val="en-US"/>
              </w:rPr>
              <w:t>inte</w:t>
            </w:r>
            <w:r w:rsidR="00894795">
              <w:rPr>
                <w:b/>
                <w:bCs/>
                <w:shd w:val="clear" w:color="auto" w:fill="FFFFFF"/>
                <w:lang w:val="en-US"/>
              </w:rPr>
              <w:t>rnal</w:t>
            </w:r>
          </w:p>
          <w:p w14:paraId="1304C9AB" w14:textId="52069375" w:rsidR="00300E54" w:rsidRPr="00271FD6" w:rsidRDefault="00300E54" w:rsidP="005B1106">
            <w:pPr>
              <w:jc w:val="both"/>
              <w:rPr>
                <w:color w:val="000000"/>
                <w:shd w:val="clear" w:color="auto" w:fill="FFFFFF"/>
                <w:lang w:val="en-US"/>
              </w:rPr>
            </w:pPr>
          </w:p>
        </w:tc>
      </w:tr>
      <w:tr w:rsidR="00F73FAF" w:rsidRPr="00271FD6" w14:paraId="4E692808" w14:textId="77777777" w:rsidTr="00E4298B">
        <w:trPr>
          <w:trHeight w:val="286"/>
        </w:trPr>
        <w:tc>
          <w:tcPr>
            <w:tcW w:w="9322" w:type="dxa"/>
            <w:gridSpan w:val="2"/>
          </w:tcPr>
          <w:p w14:paraId="1A3A6CB5" w14:textId="579E91CC" w:rsidR="00F73FAF" w:rsidRPr="00271FD6" w:rsidRDefault="00C852FA" w:rsidP="00E4298B">
            <w:pPr>
              <w:rPr>
                <w:lang w:val="en-US"/>
              </w:rPr>
            </w:pPr>
            <w:r w:rsidRPr="00271FD6">
              <w:rPr>
                <w:b/>
                <w:bCs/>
                <w:lang w:val="en-US"/>
              </w:rPr>
              <w:t>Number of credits earned</w:t>
            </w:r>
            <w:r w:rsidR="00F73FAF" w:rsidRPr="00271FD6">
              <w:rPr>
                <w:b/>
                <w:bCs/>
                <w:lang w:val="en-US"/>
              </w:rPr>
              <w:t xml:space="preserve">: </w:t>
            </w:r>
            <w:r w:rsidR="00A862A1">
              <w:rPr>
                <w:b/>
                <w:bCs/>
                <w:lang w:val="en-US"/>
              </w:rPr>
              <w:t>5</w:t>
            </w:r>
          </w:p>
        </w:tc>
      </w:tr>
      <w:tr w:rsidR="00F73FAF" w:rsidRPr="00271FD6" w14:paraId="0F9FFB03" w14:textId="77777777" w:rsidTr="00E4298B">
        <w:tc>
          <w:tcPr>
            <w:tcW w:w="9322" w:type="dxa"/>
            <w:gridSpan w:val="2"/>
          </w:tcPr>
          <w:p w14:paraId="3331914D" w14:textId="794C27C8" w:rsidR="00F73FAF" w:rsidRPr="00271FD6" w:rsidRDefault="00C852FA" w:rsidP="00E4298B">
            <w:pPr>
              <w:rPr>
                <w:lang w:val="en-US"/>
              </w:rPr>
            </w:pPr>
            <w:r w:rsidRPr="00271FD6">
              <w:rPr>
                <w:b/>
                <w:bCs/>
                <w:lang w:val="en-US"/>
              </w:rPr>
              <w:t>Recommended semester</w:t>
            </w:r>
            <w:r w:rsidR="00F73FAF" w:rsidRPr="00271FD6">
              <w:rPr>
                <w:b/>
                <w:bCs/>
                <w:lang w:val="en-US"/>
              </w:rPr>
              <w:t>:</w:t>
            </w:r>
            <w:r w:rsidR="00F73FAF" w:rsidRPr="00271FD6">
              <w:rPr>
                <w:lang w:val="en-US"/>
              </w:rPr>
              <w:t xml:space="preserve"> </w:t>
            </w:r>
            <w:r w:rsidR="00271FD6" w:rsidRPr="00271FD6">
              <w:rPr>
                <w:lang w:val="sk-SK"/>
              </w:rPr>
              <w:t>1st</w:t>
            </w:r>
          </w:p>
        </w:tc>
      </w:tr>
      <w:tr w:rsidR="00F73FAF" w:rsidRPr="00271FD6" w14:paraId="0810F202" w14:textId="77777777" w:rsidTr="00E4298B">
        <w:tc>
          <w:tcPr>
            <w:tcW w:w="9322" w:type="dxa"/>
            <w:gridSpan w:val="2"/>
          </w:tcPr>
          <w:p w14:paraId="076D52DF" w14:textId="20A9AB56" w:rsidR="00F73FAF" w:rsidRPr="00271FD6" w:rsidRDefault="00552F7E" w:rsidP="00E4298B">
            <w:pPr>
              <w:rPr>
                <w:lang w:val="en-US"/>
              </w:rPr>
            </w:pPr>
            <w:r w:rsidRPr="00271FD6">
              <w:rPr>
                <w:b/>
                <w:bCs/>
                <w:lang w:val="en-US"/>
              </w:rPr>
              <w:t>Degree</w:t>
            </w:r>
            <w:r w:rsidR="00F73FAF" w:rsidRPr="00271FD6">
              <w:rPr>
                <w:b/>
                <w:bCs/>
                <w:lang w:val="en-US"/>
              </w:rPr>
              <w:t>:</w:t>
            </w:r>
            <w:r w:rsidR="00F73FAF" w:rsidRPr="00271FD6">
              <w:rPr>
                <w:lang w:val="en-US"/>
              </w:rPr>
              <w:t xml:space="preserve"> </w:t>
            </w:r>
            <w:r w:rsidR="00A862A1">
              <w:rPr>
                <w:color w:val="000000"/>
                <w:shd w:val="clear" w:color="auto" w:fill="FFFFFF"/>
                <w:lang w:val="en-US"/>
              </w:rPr>
              <w:t>2n</w:t>
            </w:r>
            <w:r w:rsidRPr="00271FD6">
              <w:rPr>
                <w:color w:val="000000"/>
                <w:shd w:val="clear" w:color="auto" w:fill="FFFFFF"/>
                <w:lang w:val="en-US"/>
              </w:rPr>
              <w:t xml:space="preserve">d </w:t>
            </w:r>
          </w:p>
        </w:tc>
      </w:tr>
      <w:tr w:rsidR="00F73FAF" w:rsidRPr="00271FD6" w14:paraId="41F0E822" w14:textId="77777777" w:rsidTr="00E4298B">
        <w:tc>
          <w:tcPr>
            <w:tcW w:w="9322" w:type="dxa"/>
            <w:gridSpan w:val="2"/>
          </w:tcPr>
          <w:p w14:paraId="0D20E4A9" w14:textId="2BAF3CF4" w:rsidR="00F73FAF" w:rsidRPr="00271FD6" w:rsidRDefault="00552F7E" w:rsidP="00E4298B">
            <w:pPr>
              <w:rPr>
                <w:lang w:val="en-US"/>
              </w:rPr>
            </w:pPr>
            <w:r w:rsidRPr="00271FD6">
              <w:rPr>
                <w:b/>
                <w:bCs/>
                <w:lang w:val="en-US"/>
              </w:rPr>
              <w:t>Prerequisite courses</w:t>
            </w:r>
            <w:r w:rsidR="00F73FAF" w:rsidRPr="00271FD6">
              <w:rPr>
                <w:b/>
                <w:bCs/>
                <w:lang w:val="en-US"/>
              </w:rPr>
              <w:t>:</w:t>
            </w:r>
            <w:r w:rsidR="00F73FAF" w:rsidRPr="00271FD6">
              <w:rPr>
                <w:lang w:val="en-US"/>
              </w:rPr>
              <w:t xml:space="preserve"> </w:t>
            </w:r>
            <w:r w:rsidR="00622C82" w:rsidRPr="00271FD6">
              <w:rPr>
                <w:color w:val="000000"/>
                <w:shd w:val="clear" w:color="auto" w:fill="FFFFFF"/>
                <w:lang w:val="en-US"/>
              </w:rPr>
              <w:t>–</w:t>
            </w:r>
          </w:p>
        </w:tc>
      </w:tr>
      <w:tr w:rsidR="00F73FAF" w:rsidRPr="00271FD6" w14:paraId="6C702DD8" w14:textId="77777777" w:rsidTr="00E4298B">
        <w:tc>
          <w:tcPr>
            <w:tcW w:w="9322" w:type="dxa"/>
            <w:gridSpan w:val="2"/>
          </w:tcPr>
          <w:p w14:paraId="53973F9C" w14:textId="0D06478A" w:rsidR="00F73FAF" w:rsidRPr="00271FD6" w:rsidRDefault="00552F7E" w:rsidP="009A403E">
            <w:pPr>
              <w:pStyle w:val="Normlnywebov"/>
              <w:rPr>
                <w:lang w:val="en-US"/>
              </w:rPr>
            </w:pPr>
            <w:r w:rsidRPr="00271FD6">
              <w:rPr>
                <w:b/>
                <w:bCs/>
                <w:lang w:val="en-US"/>
              </w:rPr>
              <w:t>Grading policy</w:t>
            </w:r>
            <w:r w:rsidR="00F73FAF" w:rsidRPr="00271FD6">
              <w:rPr>
                <w:b/>
                <w:bCs/>
                <w:lang w:val="en-US"/>
              </w:rPr>
              <w:t>:</w:t>
            </w:r>
            <w:r w:rsidR="00F73FAF" w:rsidRPr="00271FD6">
              <w:rPr>
                <w:lang w:val="en-US"/>
              </w:rPr>
              <w:t xml:space="preserve"> </w:t>
            </w:r>
            <w:r w:rsidR="009A403E" w:rsidRPr="009A403E">
              <w:rPr>
                <w:lang w:val="en-US"/>
              </w:rPr>
              <w:t>The condition</w:t>
            </w:r>
            <w:r w:rsidR="009A403E">
              <w:rPr>
                <w:lang w:val="en-US"/>
              </w:rPr>
              <w:t>s</w:t>
            </w:r>
            <w:r w:rsidR="009A403E" w:rsidRPr="009A403E">
              <w:rPr>
                <w:lang w:val="en-US"/>
              </w:rPr>
              <w:t xml:space="preserve"> for passing the course</w:t>
            </w:r>
            <w:r w:rsidR="009A403E">
              <w:rPr>
                <w:lang w:val="en-US"/>
              </w:rPr>
              <w:t>:</w:t>
            </w:r>
            <w:r w:rsidR="009A403E" w:rsidRPr="009A403E">
              <w:rPr>
                <w:lang w:val="en-US"/>
              </w:rPr>
              <w:t xml:space="preserve"> </w:t>
            </w:r>
            <w:r w:rsidR="009A403E">
              <w:rPr>
                <w:lang w:val="en-US"/>
              </w:rPr>
              <w:t>elaboration of</w:t>
            </w:r>
            <w:r w:rsidR="009A403E" w:rsidRPr="009A403E">
              <w:rPr>
                <w:lang w:val="en-US"/>
              </w:rPr>
              <w:t xml:space="preserve"> </w:t>
            </w:r>
            <w:r w:rsidR="009A403E">
              <w:rPr>
                <w:lang w:val="en-US"/>
              </w:rPr>
              <w:t xml:space="preserve">exercise </w:t>
            </w:r>
            <w:r w:rsidR="009A403E" w:rsidRPr="009A403E">
              <w:rPr>
                <w:lang w:val="en-US"/>
              </w:rPr>
              <w:t xml:space="preserve">protocols (maximum 40 points), a written final test (maximum 30 points) and an oral exam (maximum 30 points). </w:t>
            </w:r>
            <w:r w:rsidR="009A403E">
              <w:rPr>
                <w:lang w:val="en-US"/>
              </w:rPr>
              <w:t>F</w:t>
            </w:r>
            <w:r w:rsidR="009A403E" w:rsidRPr="009A403E">
              <w:rPr>
                <w:lang w:val="en-US"/>
              </w:rPr>
              <w:t>or admission to the oral exam</w:t>
            </w:r>
            <w:r w:rsidR="009A403E">
              <w:rPr>
                <w:lang w:val="en-US"/>
              </w:rPr>
              <w:t>,</w:t>
            </w:r>
            <w:r w:rsidR="009A403E" w:rsidRPr="009A403E">
              <w:rPr>
                <w:lang w:val="en-US"/>
              </w:rPr>
              <w:t xml:space="preserve"> obtaining at least 1</w:t>
            </w:r>
            <w:r w:rsidR="009A403E">
              <w:rPr>
                <w:lang w:val="en-US"/>
              </w:rPr>
              <w:t>8</w:t>
            </w:r>
            <w:r w:rsidR="009A403E" w:rsidRPr="009A403E">
              <w:rPr>
                <w:lang w:val="en-US"/>
              </w:rPr>
              <w:t xml:space="preserve"> points </w:t>
            </w:r>
            <w:r w:rsidR="009A403E">
              <w:rPr>
                <w:lang w:val="en-US"/>
              </w:rPr>
              <w:t>by</w:t>
            </w:r>
            <w:r w:rsidR="009A403E" w:rsidRPr="009A403E">
              <w:rPr>
                <w:lang w:val="en-US"/>
              </w:rPr>
              <w:t xml:space="preserve"> the written test</w:t>
            </w:r>
            <w:r w:rsidR="009A403E">
              <w:rPr>
                <w:lang w:val="en-US"/>
              </w:rPr>
              <w:t xml:space="preserve"> is necessary.</w:t>
            </w:r>
            <w:r w:rsidR="009A403E" w:rsidRPr="009A403E">
              <w:rPr>
                <w:lang w:val="en-US"/>
              </w:rPr>
              <w:t xml:space="preserve"> </w:t>
            </w:r>
            <w:r w:rsidR="009A403E" w:rsidRPr="009A403E">
              <w:rPr>
                <w:lang w:val="en-US"/>
              </w:rPr>
              <w:t>Minimum</w:t>
            </w:r>
            <w:r w:rsidR="009A403E" w:rsidRPr="009A403E">
              <w:rPr>
                <w:lang w:val="en-US"/>
              </w:rPr>
              <w:t xml:space="preserve"> 1</w:t>
            </w:r>
            <w:r w:rsidR="009A403E" w:rsidRPr="009A403E">
              <w:rPr>
                <w:lang w:val="en-US"/>
              </w:rPr>
              <w:t>8</w:t>
            </w:r>
            <w:r w:rsidR="009A403E" w:rsidRPr="009A403E">
              <w:rPr>
                <w:lang w:val="en-US"/>
              </w:rPr>
              <w:t xml:space="preserve"> points from the oral exam are required to successfully complete the </w:t>
            </w:r>
            <w:r w:rsidR="00185085">
              <w:rPr>
                <w:lang w:val="en-US"/>
              </w:rPr>
              <w:t>course</w:t>
            </w:r>
            <w:r w:rsidR="009A403E" w:rsidRPr="009A403E">
              <w:rPr>
                <w:lang w:val="en-US"/>
              </w:rPr>
              <w:t xml:space="preserve">. </w:t>
            </w:r>
            <w:r w:rsidR="00185085">
              <w:rPr>
                <w:color w:val="000000"/>
              </w:rPr>
              <w:t>Grades:</w:t>
            </w:r>
            <w:r w:rsidR="009A403E" w:rsidRPr="009A403E">
              <w:rPr>
                <w:color w:val="000000"/>
              </w:rPr>
              <w:t xml:space="preserve"> A - 92 % to 100% of 100 points, B - 84 % - 91%, C - 76 % - 83%, D - 68 %-75%, E - 67% - 60 %, Fx less than 60 %.</w:t>
            </w:r>
          </w:p>
        </w:tc>
      </w:tr>
      <w:tr w:rsidR="00F73FAF" w:rsidRPr="00271FD6" w14:paraId="5161735C" w14:textId="77777777" w:rsidTr="00E4298B">
        <w:tc>
          <w:tcPr>
            <w:tcW w:w="9322" w:type="dxa"/>
            <w:gridSpan w:val="2"/>
          </w:tcPr>
          <w:p w14:paraId="3B589BE5" w14:textId="196AD86B" w:rsidR="00F73FAF" w:rsidRPr="002E6861" w:rsidRDefault="001D4650" w:rsidP="00F30D5F">
            <w:pPr>
              <w:pStyle w:val="PredformtovanHTML"/>
              <w:shd w:val="clear" w:color="auto" w:fill="F8F9FA"/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</w:pPr>
            <w:r w:rsidRPr="00654F9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By completing the course, </w:t>
            </w:r>
            <w:r w:rsid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t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he student will know the differences between regional research and construction site survey, the principles of method selection in </w:t>
            </w:r>
            <w:r w:rsid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both</w:t>
            </w:r>
            <w:r w:rsidR="003D7BD1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,</w:t>
            </w:r>
            <w:r w:rsid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the 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regional field research and </w:t>
            </w:r>
            <w:r w:rsid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the 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construction site </w:t>
            </w:r>
            <w:r w:rsid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survey</w:t>
            </w:r>
            <w:r w:rsid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. He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</w:t>
            </w:r>
            <w:r w:rsid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will be familiar with 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the classification of engineering geological maps, </w:t>
            </w:r>
            <w:r w:rsid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with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the rules for compiling maps of engineering geological </w:t>
            </w:r>
            <w:r w:rsid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conditions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and engineering geological zoning</w:t>
            </w:r>
            <w:r w:rsidR="002E6861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,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with appendices</w:t>
            </w:r>
            <w:r w:rsidR="002E6861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. He will 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learn to read them with </w:t>
            </w:r>
            <w:r w:rsidR="004B79ED" w:rsidRPr="004B79E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comprehension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, he will also acquire practical skills for compiling such maps and </w:t>
            </w:r>
            <w:r w:rsidR="006D7121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the course</w:t>
            </w:r>
            <w:r w:rsidR="002E6861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will prepare </w:t>
            </w:r>
            <w:r w:rsidR="005151B9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him 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for the Engineering Geological Mapping Course, where he will apply th</w:t>
            </w:r>
            <w:r w:rsidR="00BF5B2E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s</w:t>
            </w:r>
            <w:r w:rsidR="00BF5B2E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knowledge and skills in the field. He will also become familiar with the technique, work procedure and </w:t>
            </w:r>
            <w:r w:rsidR="00BF5B2E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result interpretation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of basic field tests of the physical and mechanical properties of rock mass</w:t>
            </w:r>
            <w:r w:rsidR="00D25A03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s. The acquired knowledge and skills are the starting point for </w:t>
            </w:r>
            <w:r w:rsidR="002E6861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next master courses </w:t>
            </w:r>
            <w:r w:rsidR="00BF5B2E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as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Engineering Geology in Construction, Regional Engineering Geology, Field Exercise</w:t>
            </w:r>
            <w:r w:rsidR="00BF5B2E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and</w:t>
            </w:r>
            <w:r w:rsidR="00BF5B2E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, they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may be of key importance in the case of a diploma thesis focused on regional research or construction site </w:t>
            </w:r>
            <w:r w:rsid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survey</w:t>
            </w:r>
            <w:r w:rsidR="00F30D5F" w:rsidRPr="00F30D5F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. The knowledge and skills acquired by completing this subject are a basic prerequisite for practice in the engineering geology and will be fully applicable when solving practical tasks in geotechnics, partly also in geophysics.</w:t>
            </w:r>
          </w:p>
        </w:tc>
      </w:tr>
      <w:tr w:rsidR="00F73FAF" w:rsidRPr="00271FD6" w14:paraId="00174765" w14:textId="77777777" w:rsidTr="00E4298B">
        <w:tc>
          <w:tcPr>
            <w:tcW w:w="9322" w:type="dxa"/>
            <w:gridSpan w:val="2"/>
          </w:tcPr>
          <w:p w14:paraId="22938217" w14:textId="4FBD1A2E" w:rsidR="00F73FAF" w:rsidRPr="00A43C19" w:rsidRDefault="00335D46" w:rsidP="00E4298B">
            <w:pPr>
              <w:rPr>
                <w:lang w:val="en-US"/>
              </w:rPr>
            </w:pPr>
            <w:r w:rsidRPr="00A43C19">
              <w:rPr>
                <w:b/>
                <w:bCs/>
                <w:lang w:val="en-US"/>
              </w:rPr>
              <w:t>Syllabus</w:t>
            </w:r>
            <w:r w:rsidR="00F73FAF" w:rsidRPr="00A43C19">
              <w:rPr>
                <w:b/>
                <w:bCs/>
                <w:lang w:val="en-US"/>
              </w:rPr>
              <w:t>:</w:t>
            </w:r>
            <w:r w:rsidR="00F73FAF" w:rsidRPr="00A43C19">
              <w:rPr>
                <w:lang w:val="en-US"/>
              </w:rPr>
              <w:t xml:space="preserve"> </w:t>
            </w:r>
          </w:p>
          <w:p w14:paraId="637AFBB5" w14:textId="11C6EFFC" w:rsidR="00F73FAF" w:rsidRPr="000D1A9A" w:rsidRDefault="00D60814" w:rsidP="000D1A9A">
            <w:pPr>
              <w:pStyle w:val="PredformtovanHTML"/>
              <w:shd w:val="clear" w:color="auto" w:fill="F8F9FA"/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</w:pP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I. circuit: Regional engineering geological research and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construction site survey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. Engineering geological maps - definition and </w:t>
            </w:r>
            <w:r w:rsidR="000D1A9A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classification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. Map of engineering geological conditions - </w:t>
            </w:r>
            <w:r w:rsidR="00BF5B2E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purpose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, content, </w:t>
            </w:r>
            <w:r w:rsidR="000D1A9A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principles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and rules for </w:t>
            </w:r>
            <w:r w:rsidR="000D1A9A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interpreting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engineering geological conditions (guideline). Map of engineering geological </w:t>
            </w:r>
            <w:r w:rsidR="000D1A9A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zoning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. </w:t>
            </w:r>
            <w:r w:rsidR="000D1A9A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M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ap</w:t>
            </w:r>
            <w:r w:rsidR="000D1A9A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legends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, engineering geological </w:t>
            </w:r>
            <w:r w:rsidR="000D1A9A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cross-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section</w:t>
            </w:r>
            <w:r w:rsidR="000D1A9A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s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, final</w:t>
            </w:r>
            <w:r w:rsidR="000D1A9A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report. </w:t>
            </w:r>
            <w:r w:rsidR="000D1A9A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Acquisition of  geological information for r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egional engineering geological mapping: preparatory</w:t>
            </w:r>
            <w:r w:rsidR="000D1A9A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works, project of engineering geological works, principles of </w:t>
            </w:r>
            <w:r w:rsidR="000922C7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area reconnaissance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. 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Identification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and 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in-situ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description of rocks and rock mass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s 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i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n the outcrops according to STN. Technical survey in engineering geological mapping: an overview of digging and drilling works and the specifics of their use in mapping. Penetration tests, their use in regional research and construction site survey. II. circuit: Engineering geological survey of the construction site. Determining the </w:t>
            </w:r>
            <w:r w:rsidR="0016311D"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in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-</w:t>
            </w:r>
            <w:r w:rsidR="0016311D"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situ</w:t>
            </w:r>
            <w:r w:rsidR="0016311D"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physical properties of rocks and rock mass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s by field tests: 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bulk density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and granulometry of non-cohesive soils, permeability of 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hard rock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mass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s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and 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fine-grained soils. Determining the deformation </w:t>
            </w:r>
            <w:r w:rsidR="00FB2495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parameters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of rock mas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se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s. Determination of strength characteristics of rock mass</w:t>
            </w:r>
            <w:r w:rsidR="0016311D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s. Determining the </w:t>
            </w:r>
            <w:r w:rsidR="00BF5B2E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stress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state of rock 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lastRenderedPageBreak/>
              <w:t>mass</w:t>
            </w:r>
            <w:r w:rsidR="00BF5B2E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</w:t>
            </w:r>
            <w:r w:rsidRPr="00D60814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s. The role of the engineering geologist in the design, implementation and evaluation of field tests.</w:t>
            </w:r>
          </w:p>
        </w:tc>
      </w:tr>
      <w:tr w:rsidR="00F73FAF" w:rsidRPr="00271FD6" w14:paraId="615CE9C9" w14:textId="77777777" w:rsidTr="00E4298B">
        <w:tc>
          <w:tcPr>
            <w:tcW w:w="9322" w:type="dxa"/>
            <w:gridSpan w:val="2"/>
          </w:tcPr>
          <w:p w14:paraId="52894094" w14:textId="77777777" w:rsidR="000922C7" w:rsidRDefault="00E54AD7" w:rsidP="000922C7">
            <w:pPr>
              <w:jc w:val="both"/>
              <w:rPr>
                <w:lang w:val="en-US"/>
              </w:rPr>
            </w:pPr>
            <w:r w:rsidRPr="00A43C19">
              <w:rPr>
                <w:b/>
                <w:bCs/>
                <w:lang w:val="en-US"/>
              </w:rPr>
              <w:lastRenderedPageBreak/>
              <w:t>Suggested readings</w:t>
            </w:r>
            <w:r w:rsidR="00F73FAF" w:rsidRPr="00A43C19">
              <w:rPr>
                <w:b/>
                <w:bCs/>
                <w:lang w:val="en-US"/>
              </w:rPr>
              <w:t>:</w:t>
            </w:r>
            <w:r w:rsidR="00F73FAF" w:rsidRPr="00A43C19">
              <w:rPr>
                <w:lang w:val="en-US"/>
              </w:rPr>
              <w:t xml:space="preserve"> </w:t>
            </w:r>
          </w:p>
          <w:p w14:paraId="0D32883E" w14:textId="42C1A379" w:rsidR="00F73FAF" w:rsidRDefault="000922C7" w:rsidP="000922C7">
            <w:pPr>
              <w:jc w:val="both"/>
            </w:pPr>
            <w:r>
              <w:t>UNESCO, 1976: Engineering geological maps. Guidelines to their preparation</w:t>
            </w:r>
            <w:r w:rsidR="00EC3CE3" w:rsidRPr="00A43C19">
              <w:t>.</w:t>
            </w:r>
            <w:r>
              <w:t xml:space="preserve"> Paris: The UNESCO Press. </w:t>
            </w:r>
            <w:hyperlink r:id="rId6" w:history="1">
              <w:r w:rsidRPr="004841EE">
                <w:rPr>
                  <w:rStyle w:val="Hypertextovprepojenie"/>
                </w:rPr>
                <w:t>https://unesdoc.unesco.org/ark:/48223/pf0000016580</w:t>
              </w:r>
            </w:hyperlink>
          </w:p>
          <w:p w14:paraId="78FACD0A" w14:textId="77777777" w:rsidR="00D57D11" w:rsidRPr="00D21577" w:rsidRDefault="00D57D11" w:rsidP="00D57D11">
            <w:r w:rsidRPr="00D21577">
              <w:t>Look B., 2014 : Handbook of Geotechnical Investigation and Design Tables. 2nd ed. CRC Press/Balkema, Leiden, NL, 393 p.</w:t>
            </w:r>
          </w:p>
          <w:p w14:paraId="31FD66C9" w14:textId="227A00DB" w:rsidR="000922C7" w:rsidRPr="00D57D11" w:rsidRDefault="00D57D11" w:rsidP="00D57D11">
            <w:r w:rsidRPr="00D21577">
              <w:t>Small J.C., 2016: Geomechanics in Soil, Rock, and Environmental Engineering. CRC Press: Boca Raton, USA, 541 p.</w:t>
            </w:r>
          </w:p>
        </w:tc>
      </w:tr>
      <w:tr w:rsidR="00F73FAF" w:rsidRPr="00271FD6" w14:paraId="6204AF39" w14:textId="77777777" w:rsidTr="00E4298B">
        <w:tc>
          <w:tcPr>
            <w:tcW w:w="9322" w:type="dxa"/>
            <w:gridSpan w:val="2"/>
          </w:tcPr>
          <w:p w14:paraId="3D5ADE08" w14:textId="50DAE3DD" w:rsidR="00F73FAF" w:rsidRPr="00343E84" w:rsidRDefault="00E54AD7" w:rsidP="00343E84">
            <w:pPr>
              <w:rPr>
                <w:lang w:val="en-US"/>
              </w:rPr>
            </w:pPr>
            <w:r w:rsidRPr="00343E84">
              <w:rPr>
                <w:b/>
                <w:bCs/>
                <w:lang w:val="en-US"/>
              </w:rPr>
              <w:t>The course is held in</w:t>
            </w:r>
            <w:r w:rsidR="00F73FAF" w:rsidRPr="00343E84">
              <w:rPr>
                <w:b/>
                <w:bCs/>
                <w:lang w:val="en-US"/>
              </w:rPr>
              <w:t>:</w:t>
            </w:r>
            <w:r w:rsidR="00F73FAF" w:rsidRPr="00343E84">
              <w:rPr>
                <w:lang w:val="en-US"/>
              </w:rPr>
              <w:t xml:space="preserve"> </w:t>
            </w:r>
            <w:r w:rsidRPr="00343E84">
              <w:rPr>
                <w:color w:val="000000"/>
                <w:shd w:val="clear" w:color="auto" w:fill="FFFFFF"/>
                <w:lang w:val="en-US"/>
              </w:rPr>
              <w:t>English language</w:t>
            </w:r>
          </w:p>
        </w:tc>
      </w:tr>
      <w:tr w:rsidR="00F73FAF" w:rsidRPr="00271FD6" w14:paraId="1C0F76FB" w14:textId="77777777" w:rsidTr="00E4298B">
        <w:tc>
          <w:tcPr>
            <w:tcW w:w="9322" w:type="dxa"/>
            <w:gridSpan w:val="2"/>
          </w:tcPr>
          <w:p w14:paraId="68C30122" w14:textId="58A19EA9" w:rsidR="00F73FAF" w:rsidRPr="00343E84" w:rsidRDefault="00E54AD7" w:rsidP="00E4298B">
            <w:pPr>
              <w:rPr>
                <w:lang w:val="en-US"/>
              </w:rPr>
            </w:pPr>
            <w:r w:rsidRPr="00343E84">
              <w:rPr>
                <w:b/>
                <w:bCs/>
                <w:lang w:val="en-US"/>
              </w:rPr>
              <w:t>Other course information</w:t>
            </w:r>
            <w:r w:rsidR="00F73FAF" w:rsidRPr="00343E84">
              <w:rPr>
                <w:b/>
                <w:bCs/>
                <w:lang w:val="en-US"/>
              </w:rPr>
              <w:t>:</w:t>
            </w:r>
            <w:r w:rsidR="00F73FAF" w:rsidRPr="00343E84">
              <w:rPr>
                <w:lang w:val="en-US"/>
              </w:rPr>
              <w:t xml:space="preserve"> </w:t>
            </w:r>
            <w:r w:rsidR="00AC1A48" w:rsidRPr="00343E84">
              <w:rPr>
                <w:lang w:val="en-US"/>
              </w:rPr>
              <w:t>-</w:t>
            </w:r>
          </w:p>
        </w:tc>
      </w:tr>
      <w:tr w:rsidR="00F73FAF" w:rsidRPr="00271FD6" w14:paraId="5B3AF2CA" w14:textId="77777777" w:rsidTr="00E4298B">
        <w:tc>
          <w:tcPr>
            <w:tcW w:w="9322" w:type="dxa"/>
            <w:gridSpan w:val="2"/>
          </w:tcPr>
          <w:p w14:paraId="62791C2E" w14:textId="44F33B72" w:rsidR="00F73FAF" w:rsidRPr="00343E84" w:rsidRDefault="008D70C4" w:rsidP="00E4298B">
            <w:pPr>
              <w:rPr>
                <w:lang w:val="en-US"/>
              </w:rPr>
            </w:pPr>
            <w:r w:rsidRPr="00343E84">
              <w:rPr>
                <w:b/>
                <w:bCs/>
                <w:lang w:val="en-US"/>
              </w:rPr>
              <w:t xml:space="preserve">Grading history </w:t>
            </w:r>
          </w:p>
        </w:tc>
      </w:tr>
      <w:tr w:rsidR="00F73FAF" w:rsidRPr="00271FD6" w14:paraId="7E936EBB" w14:textId="77777777" w:rsidTr="00E4298B">
        <w:tc>
          <w:tcPr>
            <w:tcW w:w="9322" w:type="dxa"/>
            <w:gridSpan w:val="2"/>
          </w:tcPr>
          <w:p w14:paraId="7F8126AA" w14:textId="7C92D9B2" w:rsidR="00F73FAF" w:rsidRPr="00343E84" w:rsidRDefault="008D70C4" w:rsidP="00E4298B">
            <w:pPr>
              <w:tabs>
                <w:tab w:val="left" w:pos="1530"/>
              </w:tabs>
              <w:rPr>
                <w:lang w:val="en-US"/>
              </w:rPr>
            </w:pPr>
            <w:r w:rsidRPr="00343E84">
              <w:rPr>
                <w:b/>
                <w:bCs/>
                <w:lang w:val="en-US"/>
              </w:rPr>
              <w:t>Professor</w:t>
            </w:r>
            <w:r w:rsidR="00F73FAF" w:rsidRPr="00343E84">
              <w:rPr>
                <w:b/>
                <w:bCs/>
                <w:lang w:val="en-US"/>
              </w:rPr>
              <w:t>:</w:t>
            </w:r>
            <w:r w:rsidR="00F73FAF" w:rsidRPr="00343E84">
              <w:rPr>
                <w:lang w:val="en-US"/>
              </w:rPr>
              <w:t xml:space="preserve"> </w:t>
            </w:r>
          </w:p>
          <w:p w14:paraId="18B54E8E" w14:textId="127B13B0" w:rsidR="00F73FAF" w:rsidRPr="00343E84" w:rsidRDefault="00EC3CE3" w:rsidP="00E4298B">
            <w:pPr>
              <w:tabs>
                <w:tab w:val="left" w:pos="1530"/>
              </w:tabs>
              <w:rPr>
                <w:lang w:val="en-US"/>
              </w:rPr>
            </w:pPr>
            <w:r w:rsidRPr="00343E84">
              <w:t>Assoc. Prof. RNDr. Renáta Adamcová, PhD.</w:t>
            </w:r>
          </w:p>
        </w:tc>
      </w:tr>
      <w:tr w:rsidR="00F73FAF" w:rsidRPr="00271FD6" w14:paraId="5A33CF4A" w14:textId="77777777" w:rsidTr="00E4298B">
        <w:tc>
          <w:tcPr>
            <w:tcW w:w="9322" w:type="dxa"/>
            <w:gridSpan w:val="2"/>
          </w:tcPr>
          <w:p w14:paraId="790BF145" w14:textId="61D39D14" w:rsidR="00F73FAF" w:rsidRPr="00343E84" w:rsidRDefault="008D70C4" w:rsidP="00E4298B">
            <w:pPr>
              <w:tabs>
                <w:tab w:val="left" w:pos="1530"/>
              </w:tabs>
              <w:rPr>
                <w:lang w:val="en-US"/>
              </w:rPr>
            </w:pPr>
            <w:r w:rsidRPr="00343E84">
              <w:rPr>
                <w:b/>
                <w:bCs/>
                <w:lang w:val="en-US"/>
              </w:rPr>
              <w:t>Last update</w:t>
            </w:r>
            <w:r w:rsidR="00F73FAF" w:rsidRPr="00343E84">
              <w:rPr>
                <w:b/>
                <w:bCs/>
                <w:lang w:val="en-US"/>
              </w:rPr>
              <w:t>:</w:t>
            </w:r>
            <w:r w:rsidR="00F73FAF" w:rsidRPr="00343E84">
              <w:rPr>
                <w:lang w:val="en-US"/>
              </w:rPr>
              <w:t xml:space="preserve"> </w:t>
            </w:r>
            <w:r w:rsidR="000922C7">
              <w:rPr>
                <w:lang w:val="en-US"/>
              </w:rPr>
              <w:t>March</w:t>
            </w:r>
            <w:r w:rsidR="005E31C8" w:rsidRPr="00343E84">
              <w:rPr>
                <w:lang w:val="en-US"/>
              </w:rPr>
              <w:t xml:space="preserve"> 2</w:t>
            </w:r>
            <w:r w:rsidR="000922C7">
              <w:rPr>
                <w:lang w:val="en-US"/>
              </w:rPr>
              <w:t>5</w:t>
            </w:r>
            <w:r w:rsidR="005E31C8" w:rsidRPr="00343E84">
              <w:rPr>
                <w:lang w:val="en-US"/>
              </w:rPr>
              <w:t>, 202</w:t>
            </w:r>
            <w:r w:rsidR="000922C7">
              <w:rPr>
                <w:lang w:val="en-US"/>
              </w:rPr>
              <w:t>3</w:t>
            </w:r>
          </w:p>
        </w:tc>
      </w:tr>
      <w:tr w:rsidR="00F73FAF" w:rsidRPr="00271FD6" w14:paraId="0393C68A" w14:textId="77777777" w:rsidTr="00E4298B">
        <w:tc>
          <w:tcPr>
            <w:tcW w:w="9322" w:type="dxa"/>
            <w:gridSpan w:val="2"/>
          </w:tcPr>
          <w:p w14:paraId="10A42107" w14:textId="6C15BADD" w:rsidR="00F73FAF" w:rsidRPr="00343E84" w:rsidRDefault="008D70C4" w:rsidP="00E4298B">
            <w:pPr>
              <w:tabs>
                <w:tab w:val="left" w:pos="1530"/>
              </w:tabs>
              <w:rPr>
                <w:lang w:val="en-US"/>
              </w:rPr>
            </w:pPr>
            <w:r w:rsidRPr="00343E84">
              <w:rPr>
                <w:b/>
                <w:bCs/>
                <w:lang w:val="en-US"/>
              </w:rPr>
              <w:t>Approved by</w:t>
            </w:r>
            <w:r w:rsidR="00F73FAF" w:rsidRPr="00343E84">
              <w:rPr>
                <w:b/>
                <w:bCs/>
                <w:lang w:val="en-US"/>
              </w:rPr>
              <w:t>:</w:t>
            </w:r>
            <w:r w:rsidR="00F73FAF" w:rsidRPr="00343E84">
              <w:rPr>
                <w:lang w:val="en-US"/>
              </w:rPr>
              <w:t xml:space="preserve"> </w:t>
            </w:r>
            <w:r w:rsidR="00EC3CE3" w:rsidRPr="00343E84">
              <w:rPr>
                <w:lang w:val="en-US"/>
              </w:rPr>
              <w:t>A</w:t>
            </w:r>
            <w:r w:rsidR="005E31C8" w:rsidRPr="00343E84">
              <w:rPr>
                <w:color w:val="000000"/>
                <w:shd w:val="clear" w:color="auto" w:fill="FFFFFF"/>
                <w:lang w:val="en-US"/>
              </w:rPr>
              <w:t xml:space="preserve">ssoc. </w:t>
            </w:r>
            <w:r w:rsidR="00EC3CE3" w:rsidRPr="00343E84">
              <w:rPr>
                <w:color w:val="000000"/>
                <w:shd w:val="clear" w:color="auto" w:fill="FFFFFF"/>
                <w:lang w:val="en-US"/>
              </w:rPr>
              <w:t>P</w:t>
            </w:r>
            <w:r w:rsidR="005E31C8" w:rsidRPr="00343E84">
              <w:rPr>
                <w:color w:val="000000"/>
                <w:shd w:val="clear" w:color="auto" w:fill="FFFFFF"/>
                <w:lang w:val="en-US"/>
              </w:rPr>
              <w:t xml:space="preserve">rof. </w:t>
            </w:r>
            <w:r w:rsidR="00EC3CE3" w:rsidRPr="00343E84">
              <w:rPr>
                <w:color w:val="000000"/>
                <w:shd w:val="clear" w:color="auto" w:fill="FFFFFF"/>
                <w:lang w:val="en-US"/>
              </w:rPr>
              <w:t xml:space="preserve">RNDr. </w:t>
            </w:r>
            <w:r w:rsidR="005E31C8" w:rsidRPr="00343E84">
              <w:rPr>
                <w:color w:val="000000"/>
                <w:shd w:val="clear" w:color="auto" w:fill="FFFFFF"/>
                <w:lang w:val="en-US"/>
              </w:rPr>
              <w:t>Martin Bednarik, PhD.</w:t>
            </w:r>
          </w:p>
        </w:tc>
      </w:tr>
    </w:tbl>
    <w:p w14:paraId="57344A10" w14:textId="77777777" w:rsidR="00F73FAF" w:rsidRPr="00271FD6" w:rsidRDefault="00F73FAF" w:rsidP="00F73FAF">
      <w:pPr>
        <w:ind w:left="720"/>
        <w:jc w:val="both"/>
        <w:rPr>
          <w:lang w:val="en-US"/>
        </w:rPr>
      </w:pPr>
    </w:p>
    <w:p w14:paraId="309AF196" w14:textId="1C266883" w:rsidR="00A7166F" w:rsidRPr="005E31C8" w:rsidRDefault="00A7166F" w:rsidP="00F73FAF">
      <w:pPr>
        <w:rPr>
          <w:lang w:val="en-US"/>
        </w:rPr>
      </w:pPr>
    </w:p>
    <w:sectPr w:rsidR="00A7166F" w:rsidRPr="005E3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299"/>
    <w:multiLevelType w:val="hybridMultilevel"/>
    <w:tmpl w:val="4A7842A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5260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AF"/>
    <w:rsid w:val="00010106"/>
    <w:rsid w:val="00047AC3"/>
    <w:rsid w:val="000922C7"/>
    <w:rsid w:val="000D1A9A"/>
    <w:rsid w:val="000D62FA"/>
    <w:rsid w:val="00104B89"/>
    <w:rsid w:val="0016311D"/>
    <w:rsid w:val="00172E56"/>
    <w:rsid w:val="00185085"/>
    <w:rsid w:val="001C402E"/>
    <w:rsid w:val="001D4650"/>
    <w:rsid w:val="00216FEC"/>
    <w:rsid w:val="00271FD6"/>
    <w:rsid w:val="002E6861"/>
    <w:rsid w:val="00300E54"/>
    <w:rsid w:val="00325DD9"/>
    <w:rsid w:val="00335D46"/>
    <w:rsid w:val="00343E84"/>
    <w:rsid w:val="003B39F7"/>
    <w:rsid w:val="003D3177"/>
    <w:rsid w:val="003D7BD1"/>
    <w:rsid w:val="003F7F25"/>
    <w:rsid w:val="00420556"/>
    <w:rsid w:val="00463DD6"/>
    <w:rsid w:val="004B79ED"/>
    <w:rsid w:val="005151B9"/>
    <w:rsid w:val="0054371D"/>
    <w:rsid w:val="00552F7E"/>
    <w:rsid w:val="005B1106"/>
    <w:rsid w:val="005C11EB"/>
    <w:rsid w:val="005E2AE9"/>
    <w:rsid w:val="005E31C8"/>
    <w:rsid w:val="00614E0B"/>
    <w:rsid w:val="00622C82"/>
    <w:rsid w:val="006D7121"/>
    <w:rsid w:val="00720E8A"/>
    <w:rsid w:val="007B1AB3"/>
    <w:rsid w:val="007E39EA"/>
    <w:rsid w:val="00894795"/>
    <w:rsid w:val="008D70C4"/>
    <w:rsid w:val="009271E4"/>
    <w:rsid w:val="00945A44"/>
    <w:rsid w:val="009A403E"/>
    <w:rsid w:val="009D479A"/>
    <w:rsid w:val="00A43C19"/>
    <w:rsid w:val="00A67849"/>
    <w:rsid w:val="00A7166F"/>
    <w:rsid w:val="00A862A1"/>
    <w:rsid w:val="00AC1A48"/>
    <w:rsid w:val="00BE34F4"/>
    <w:rsid w:val="00BF5B2E"/>
    <w:rsid w:val="00C852FA"/>
    <w:rsid w:val="00CB04B4"/>
    <w:rsid w:val="00D25A03"/>
    <w:rsid w:val="00D57D11"/>
    <w:rsid w:val="00D60814"/>
    <w:rsid w:val="00E2439C"/>
    <w:rsid w:val="00E54AD7"/>
    <w:rsid w:val="00EC3CE3"/>
    <w:rsid w:val="00EC61DD"/>
    <w:rsid w:val="00F30D5F"/>
    <w:rsid w:val="00F41FE2"/>
    <w:rsid w:val="00F73FAF"/>
    <w:rsid w:val="00FB2495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8BC2"/>
  <w15:chartTrackingRefBased/>
  <w15:docId w15:val="{E29F63F2-D343-4F93-829A-97F76FFE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73F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F73F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B1AB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1AB3"/>
    <w:rPr>
      <w:rFonts w:ascii="Segoe UI" w:eastAsia="Times New Roman" w:hAnsi="Segoe UI" w:cs="Segoe UI"/>
      <w:sz w:val="18"/>
      <w:szCs w:val="18"/>
      <w:lang w:eastAsia="sk-SK"/>
    </w:rPr>
  </w:style>
  <w:style w:type="character" w:customStyle="1" w:styleId="Kod">
    <w:name w:val="Kod"/>
    <w:uiPriority w:val="99"/>
    <w:rsid w:val="007B1AB3"/>
    <w:rPr>
      <w:rFonts w:ascii="Courier New" w:hAnsi="Courier New"/>
      <w:sz w:val="19"/>
    </w:rPr>
  </w:style>
  <w:style w:type="character" w:styleId="Odkaznakomentr">
    <w:name w:val="annotation reference"/>
    <w:basedOn w:val="Predvolenpsmoodseku"/>
    <w:uiPriority w:val="99"/>
    <w:semiHidden/>
    <w:unhideWhenUsed/>
    <w:rsid w:val="007B1AB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B1AB3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B1AB3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B1AB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7B1AB3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1D4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1D4650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0922C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922C7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unhideWhenUsed/>
    <w:rsid w:val="00A862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esdoc.unesco.org/ark:/48223/pf00000165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9C04F-606D-4E03-9EEF-C60FB6B0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Čerňanský Slavomír</dc:creator>
  <cp:keywords/>
  <dc:description/>
  <cp:lastModifiedBy>Adamec</cp:lastModifiedBy>
  <cp:revision>5</cp:revision>
  <dcterms:created xsi:type="dcterms:W3CDTF">2023-03-25T06:12:00Z</dcterms:created>
  <dcterms:modified xsi:type="dcterms:W3CDTF">2023-03-25T15:05:00Z</dcterms:modified>
</cp:coreProperties>
</file>