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210"/>
        </w:trPr>
        <w:tc>
          <w:tcPr>
            <w:tcW w:type="dxa" w:w="11906"/>
            <w:tcBorders/>
            <w:shd w:fill="5e5e5e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60" w:val="left"/>
              </w:tabs>
              <w:autoSpaceDE w:val="0"/>
              <w:widowControl/>
              <w:spacing w:line="274" w:lineRule="auto" w:before="50" w:after="0"/>
              <w:ind w:left="1564" w:right="14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5F4F4"/>
                <w:sz w:val="44"/>
              </w:rPr>
              <w:t xml:space="preserve">BEZPEČNOST PRÁCE JE VĚCÍ KAŽDÉHO </w:t>
            </w:r>
            <w:r>
              <w:rPr>
                <w:rFonts w:ascii="Arial" w:hAnsi="Arial" w:eastAsia="Arial"/>
                <w:b/>
                <w:i w:val="0"/>
                <w:color w:val="F5F4F4"/>
                <w:sz w:val="44"/>
              </w:rPr>
              <w:t>ZAMĚSTNAVATELE A ZAMĚSTNANCE</w:t>
            </w:r>
          </w:p>
        </w:tc>
      </w:tr>
    </w:tbl>
    <w:p>
      <w:pPr>
        <w:autoSpaceDN w:val="0"/>
        <w:autoSpaceDE w:val="0"/>
        <w:widowControl/>
        <w:spacing w:line="290" w:lineRule="auto" w:before="0" w:after="0"/>
        <w:ind w:left="2552" w:right="0" w:firstLine="0"/>
        <w:jc w:val="left"/>
      </w:pPr>
      <w:r>
        <w:rPr>
          <w:rFonts w:ascii="Arial" w:hAnsi="Arial" w:eastAsia="Arial"/>
          <w:b w:val="0"/>
          <w:i w:val="0"/>
          <w:color w:val="922E1E"/>
          <w:sz w:val="72"/>
        </w:rPr>
        <w:t>BOURACÍ PRÁCE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1778000</wp:posOffset>
            </wp:positionV>
            <wp:extent cx="7569200" cy="8122114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81221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668" w:after="34"/>
        <w:ind w:left="0" w:right="1586" w:firstLine="0"/>
        <w:jc w:val="right"/>
      </w:pPr>
      <w:r>
        <w:rPr>
          <w:rFonts w:ascii="Arial" w:hAnsi="Arial" w:eastAsia="Arial"/>
          <w:b/>
          <w:i w:val="0"/>
          <w:color w:val="FFFFFF"/>
          <w:sz w:val="34"/>
        </w:rPr>
        <w:t>Přípravné práce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256"/>
        <w:gridCol w:w="2256"/>
        <w:gridCol w:w="2256"/>
        <w:gridCol w:w="2256"/>
      </w:tblGrid>
      <w:tr>
        <w:trPr>
          <w:trHeight w:hRule="exact" w:val="1142"/>
        </w:trPr>
        <w:tc>
          <w:tcPr>
            <w:tcW w:type="dxa" w:w="49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18" w:val="left"/>
                <w:tab w:pos="2888" w:val="left"/>
              </w:tabs>
              <w:autoSpaceDE w:val="0"/>
              <w:widowControl/>
              <w:spacing w:line="252" w:lineRule="auto" w:before="5326" w:after="0"/>
              <w:ind w:left="212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Bourací práce patří ve stavebnictví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mezi činnosti, které svým charakterem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představují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zvýšené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nebezpečí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ohrožení života a zdraví pracovníků,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kteří je provádějí. Může však při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nich dojít i k ohrožení okolí stavby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(např. zřícením objektu) se značnými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následky. Míra rizik je podmíněna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způsobem, kterým se bourací práce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provádějí, od relativně bezpečného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bourání pomocí strojů až k ručnímu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bourání, kdy mohou být pracovníci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ohroženi obtížně předvídatelným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chováním bourané konstrukce. Stabilitu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a pevnost konstrukce v jednotlivých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fázích bourání lze jen těžko předem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odhadnout, přesto je toto riziko často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podceňováno. Tato problematika se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týká i zdánlivě nevýznamných, ale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poměrně častých rekonstrukčních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prací, mnohdy prováděných za plného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provozu v modernizovaných objektech.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Havárie vzniklé nesprávným postupem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bouracích prací nejsou i v těchto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případech nijak výjimečné.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4" w:after="0"/>
              <w:ind w:left="0" w:right="8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4" w:after="0"/>
              <w:ind w:left="116" w:right="11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Bourací práce, při nichž jsou dotčeny nosné prvky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stavební konstrukce, se smějí provádět pouze podle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technologického postupu stanoveného v dokumentaci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bouracích prací.</w:t>
            </w:r>
          </w:p>
        </w:tc>
      </w:tr>
      <w:tr>
        <w:trPr>
          <w:trHeight w:hRule="exact" w:val="166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2" w:after="0"/>
              <w:ind w:left="0" w:right="8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4" w:after="0"/>
              <w:ind w:left="116" w:right="11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Minimálně musí zhotovitel zajistit před započetím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bouracích nebo rekonstrukčních prací provedení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průzkumu stavu objektu z hlediska jeho statiky,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použitých materiálů, technického vybavení, zajištění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rozvodů a vedení, zjištění stavu dotčených sousedních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staveb apod.</w:t>
            </w:r>
          </w:p>
        </w:tc>
      </w:tr>
      <w:tr>
        <w:trPr>
          <w:trHeight w:hRule="exact" w:val="62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8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42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Z výsledků průzkumu se musí udělat zápis, který uvede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zjištěné skutečnosti.</w:t>
            </w:r>
          </w:p>
        </w:tc>
      </w:tr>
      <w:tr>
        <w:trPr>
          <w:trHeight w:hRule="exact" w:val="114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8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6" w:after="0"/>
              <w:ind w:left="116" w:right="11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Na základě výsledků průzkumu a statického posouzení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se zpracovává technologický postup prováděných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prací, kde je uvedeno, jak bude zajištěna bezpečnost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práce.</w:t>
            </w:r>
          </w:p>
        </w:tc>
      </w:tr>
      <w:tr>
        <w:trPr>
          <w:trHeight w:hRule="exact" w:val="246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8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36" w:after="0"/>
              <w:ind w:left="116" w:right="11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Technologický postup musí obsahovat návaznost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a souběh jednotlivých pracovních operací, pracovní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postupy pro jednotlivé pracovní činnosti, způsob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odstraňování materiálu, způsob svislé a vodorovné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dopravy, skladování materiálu, zajištění staveniště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a pracoviště, použití pomocných stavebních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konstrukcí – lešení a podpěr, zajištění inženýrských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sítí, použití prozatímních rozvodů energií, stanovení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osobních ochranných pracovních prostředků.</w:t>
            </w:r>
          </w:p>
        </w:tc>
      </w:tr>
      <w:tr>
        <w:trPr>
          <w:trHeight w:hRule="exact" w:val="114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8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8" w:after="0"/>
              <w:ind w:left="116" w:right="11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Technologické postupy používané při zacházení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se stavebními materiály obsahujícími azbest musí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být upraveny tak, aby se předcházelo uvolňování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azbestového prachu do ovzduší.</w:t>
            </w:r>
          </w:p>
        </w:tc>
      </w:tr>
      <w:tr>
        <w:trPr>
          <w:trHeight w:hRule="exact" w:val="142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8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8" w:after="0"/>
              <w:ind w:left="116" w:right="11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Při částečném bourání, rekonstrukci a modernizaci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budov, které zůstávají v provozu nebo jsou obydlené,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musejí být v technologických postupech uvedeny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způsoby zajištění provozu a kontroly pracovišť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z hlediska ochrany pracovníků a jiných osob.</w:t>
            </w:r>
          </w:p>
        </w:tc>
      </w:tr>
      <w:tr>
        <w:trPr>
          <w:trHeight w:hRule="exact" w:val="140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8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4" w:after="0"/>
              <w:ind w:left="116" w:right="11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Zahájení bouracích prací se může uskutečnit jen na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základě písemného příkazu odpovědného pracovníka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zhotovitele a po vybavení pracoviště pomocnými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konstrukcemi, materiálem a pomůckami určenými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v technologickém postupu.</w:t>
            </w:r>
          </w:p>
        </w:tc>
      </w:tr>
      <w:tr>
        <w:trPr>
          <w:trHeight w:hRule="exact" w:val="130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0" w:right="8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0" w:after="0"/>
              <w:ind w:left="116" w:right="12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Vstupy, výstupy, sestupy a vjezdy do prostoru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bouraného objektu i do jednotlivých pracovišť musejí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být zajištěny po celou dobu prací a viditelně označeny.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Zajištěn musí být i prostor bouracích prací.</w:t>
            </w:r>
          </w:p>
        </w:tc>
      </w:tr>
      <w:tr>
        <w:trPr>
          <w:trHeight w:hRule="exact" w:val="48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800" cy="317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6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819" cy="3022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19" cy="30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0" w:right="216" w:firstLine="0"/>
              <w:jc w:val="right"/>
            </w:pPr>
            <w:r>
              <w:rPr>
                <w:u w:val="single" w:color="265a9b"/>
                <w:rFonts w:ascii="ArialMT" w:hAnsi="ArialMT" w:eastAsia="ArialMT"/>
                <w:b w:val="0"/>
                <w:i w:val="0"/>
                <w:color w:val="275B9B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https://vubp.cz/infomaterialy-bozp/</w:t>
                </w:r>
              </w:hyperlink>
            </w:r>
          </w:p>
        </w:tc>
      </w:tr>
      <w:tr>
        <w:trPr>
          <w:trHeight w:hRule="exact" w:val="27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8" w:after="0"/>
              <w:ind w:left="0" w:right="1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Vydáno 2021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20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01600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016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28" w:val="left"/>
        </w:tabs>
        <w:autoSpaceDE w:val="0"/>
        <w:widowControl/>
        <w:spacing w:line="274" w:lineRule="auto" w:before="0" w:after="0"/>
        <w:ind w:left="1332" w:right="1152" w:firstLine="0"/>
        <w:jc w:val="left"/>
      </w:pPr>
      <w:r>
        <w:rPr>
          <w:rFonts w:ascii="Arial" w:hAnsi="Arial" w:eastAsia="Arial"/>
          <w:b/>
          <w:i w:val="0"/>
          <w:color w:val="F5F4F4"/>
          <w:sz w:val="44"/>
        </w:rPr>
        <w:t xml:space="preserve">BEZPEČNOST PRÁCE JE VĚCÍ KAŽDÉHO </w:t>
      </w:r>
      <w:r>
        <w:rPr>
          <w:rFonts w:ascii="Arial" w:hAnsi="Arial" w:eastAsia="Arial"/>
          <w:b/>
          <w:i w:val="0"/>
          <w:color w:val="F5F4F4"/>
          <w:sz w:val="44"/>
        </w:rPr>
        <w:t>ZAMĚSTNAVATELE A ZAMĚSTNANCE</w:t>
      </w:r>
    </w:p>
    <w:p>
      <w:pPr>
        <w:autoSpaceDN w:val="0"/>
        <w:autoSpaceDE w:val="0"/>
        <w:widowControl/>
        <w:spacing w:line="252" w:lineRule="auto" w:before="0" w:after="0"/>
        <w:ind w:left="2540" w:right="2016" w:hanging="18"/>
        <w:jc w:val="left"/>
      </w:pPr>
      <w:r>
        <w:rPr>
          <w:rFonts w:ascii="Arial" w:hAnsi="Arial" w:eastAsia="Arial"/>
          <w:b w:val="0"/>
          <w:i w:val="0"/>
          <w:color w:val="922E1E"/>
          <w:sz w:val="72"/>
        </w:rPr>
        <w:t xml:space="preserve">BOURACÍ PRÁCE </w:t>
      </w:r>
      <w:r>
        <w:rPr>
          <w:w w:val="98.97435506184897"/>
          <w:rFonts w:ascii="Arial" w:hAnsi="Arial" w:eastAsia="Arial"/>
          <w:b w:val="0"/>
          <w:i w:val="0"/>
          <w:color w:val="922E1E"/>
          <w:sz w:val="39"/>
        </w:rPr>
        <w:t xml:space="preserve">Zásady při provádění bouracích </w:t>
      </w:r>
    </w:p>
    <w:p>
      <w:pPr>
        <w:autoSpaceDN w:val="0"/>
        <w:autoSpaceDE w:val="0"/>
        <w:widowControl/>
        <w:spacing w:line="290" w:lineRule="auto" w:before="0" w:after="60"/>
        <w:ind w:left="0" w:right="3028" w:firstLine="0"/>
        <w:jc w:val="right"/>
      </w:pPr>
      <w:r>
        <w:rPr>
          <w:w w:val="98.97435506184897"/>
          <w:rFonts w:ascii="Arial" w:hAnsi="Arial" w:eastAsia="Arial"/>
          <w:b w:val="0"/>
          <w:i w:val="0"/>
          <w:color w:val="922E1E"/>
          <w:sz w:val="39"/>
        </w:rPr>
        <w:t>a rekonstrukčních prací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82"/>
        <w:gridCol w:w="2282"/>
        <w:gridCol w:w="2282"/>
        <w:gridCol w:w="2282"/>
        <w:gridCol w:w="2282"/>
      </w:tblGrid>
      <w:tr>
        <w:trPr>
          <w:trHeight w:hRule="exact" w:val="1304"/>
        </w:trPr>
        <w:tc>
          <w:tcPr>
            <w:tcW w:type="dxa" w:w="1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1170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1340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564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564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506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564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564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210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322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508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266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536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562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536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820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0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8" w:after="0"/>
              <w:ind w:left="296" w:right="26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Před zahájením bouracích prací je nutné stanovit signál, kterým v naléhavém případě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bezprostředního ohrožení dá osoba určená zhotovitelem k řízení bouracích prací pokyn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k bezprostřednímu opuštění pracoviště. S tímto signálem musí být seznámeny všechny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dotčené fyzické osoby.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484" w:after="0"/>
              <w:ind w:left="0" w:right="3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</w:t>
            </w:r>
          </w:p>
        </w:tc>
      </w:tr>
      <w:tr>
        <w:trPr>
          <w:trHeight w:hRule="exact" w:val="1620"/>
        </w:trPr>
        <w:tc>
          <w:tcPr>
            <w:tcW w:type="dxa" w:w="2282"/>
            <w:vMerge/>
            <w:tcBorders/>
          </w:tcPr>
          <w:p/>
        </w:tc>
        <w:tc>
          <w:tcPr>
            <w:tcW w:type="dxa" w:w="10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76" w:after="0"/>
              <w:ind w:left="296" w:right="26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Stálý dozor vykonávaný fyzickou osobou pověřenou zhotovitelem musí být zajištěn při bourání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staveb vyšších než přízemních, strhávání svislých konstrukcí od výšky tří metrů, bourání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schodišť a vysunutých částí, při bourání, kdy dochází ke změně konstrukční bezpečnosti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stavby, nebo také pokud bourací práce probíhají na dvou nebo více místech v rámci jedné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bourané stavby současně.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574" w:after="0"/>
              <w:ind w:left="0" w:right="2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</w:t>
            </w:r>
          </w:p>
        </w:tc>
      </w:tr>
      <w:tr>
        <w:trPr>
          <w:trHeight w:hRule="exact" w:val="740"/>
        </w:trPr>
        <w:tc>
          <w:tcPr>
            <w:tcW w:type="dxa" w:w="2282"/>
            <w:vMerge/>
            <w:tcBorders/>
          </w:tcPr>
          <w:p/>
        </w:tc>
        <w:tc>
          <w:tcPr>
            <w:tcW w:type="dxa" w:w="10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6" w:after="0"/>
              <w:ind w:left="296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Bourat se musí tak, aby se nenarušila stabilita okolních objektů, případně musí být zajištěny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sousední stavby způsobem stanoveným v dokumentaci.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110" w:after="0"/>
              <w:ind w:left="0" w:right="7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</w:t>
            </w:r>
          </w:p>
        </w:tc>
      </w:tr>
      <w:tr>
        <w:trPr>
          <w:trHeight w:hRule="exact" w:val="740"/>
        </w:trPr>
        <w:tc>
          <w:tcPr>
            <w:tcW w:type="dxa" w:w="2282"/>
            <w:vMerge/>
            <w:tcBorders/>
          </w:tcPr>
          <w:p/>
        </w:tc>
        <w:tc>
          <w:tcPr>
            <w:tcW w:type="dxa" w:w="11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2" w:after="0"/>
              <w:ind w:left="296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Strhávání střešní konstrukce nebo krovů pomocí lan a tažných strojů je dovoleno pouze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v případě, že jsou učiněna opatření ke stabilizování zbývající části konstrukce.</w:t>
            </w:r>
          </w:p>
        </w:tc>
      </w:tr>
      <w:tr>
        <w:trPr>
          <w:trHeight w:hRule="exact" w:val="740"/>
        </w:trPr>
        <w:tc>
          <w:tcPr>
            <w:tcW w:type="dxa" w:w="2282"/>
            <w:vMerge/>
            <w:tcBorders/>
          </w:tcPr>
          <w:p/>
        </w:tc>
        <w:tc>
          <w:tcPr>
            <w:tcW w:type="dxa" w:w="10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8" w:after="0"/>
              <w:ind w:left="296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Bourání klenby uvolněním části konstrukce, která ji zajišťuje, lze provádět pouze strojním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způsobem a je-li zajištěno, že zřícením klenby nedojde k ohrožení fyzických osob.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94" w:after="0"/>
              <w:ind w:left="0" w:right="3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</w:t>
            </w:r>
          </w:p>
        </w:tc>
      </w:tr>
      <w:tr>
        <w:trPr>
          <w:trHeight w:hRule="exact" w:val="760"/>
        </w:trPr>
        <w:tc>
          <w:tcPr>
            <w:tcW w:type="dxa" w:w="2282"/>
            <w:vMerge/>
            <w:tcBorders/>
          </w:tcPr>
          <w:p/>
        </w:tc>
        <w:tc>
          <w:tcPr>
            <w:tcW w:type="dxa" w:w="11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84" w:after="0"/>
              <w:ind w:left="296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Pokud není zajištěna únosnost bourané konstrukce, musí být bourání prováděno ze samostatné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pomocné konstrukce.</w:t>
            </w:r>
          </w:p>
        </w:tc>
      </w:tr>
      <w:tr>
        <w:trPr>
          <w:trHeight w:hRule="exact" w:val="720"/>
        </w:trPr>
        <w:tc>
          <w:tcPr>
            <w:tcW w:type="dxa" w:w="2282"/>
            <w:vMerge/>
            <w:tcBorders/>
          </w:tcPr>
          <w:p/>
        </w:tc>
        <w:tc>
          <w:tcPr>
            <w:tcW w:type="dxa" w:w="10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2" w:after="0"/>
              <w:ind w:left="296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Při bourání zdí, které stabilizují vystupující konstrukce, například balkony nebo arkýře, je nutné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zajistit tyto konstrukce tak, aby nedošlo k nežádoucí ztrátě jejich stability.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16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</w:t>
            </w:r>
          </w:p>
        </w:tc>
      </w:tr>
      <w:tr>
        <w:trPr>
          <w:trHeight w:hRule="exact" w:val="460"/>
        </w:trPr>
        <w:tc>
          <w:tcPr>
            <w:tcW w:type="dxa" w:w="2282"/>
            <w:vMerge/>
            <w:tcBorders/>
          </w:tcPr>
          <w:p/>
        </w:tc>
        <w:tc>
          <w:tcPr>
            <w:tcW w:type="dxa" w:w="10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98" w:after="0"/>
              <w:ind w:left="2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Konstrukční prvky mohou být odstraněny při ručním bourání jen tehdy, nejsou-Ii zatíženy.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38" w:after="0"/>
              <w:ind w:left="0" w:right="8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0"/>
              </w:rPr>
              <w:t></w:t>
            </w:r>
          </w:p>
        </w:tc>
      </w:tr>
      <w:tr>
        <w:trPr>
          <w:trHeight w:hRule="exact" w:val="480"/>
        </w:trPr>
        <w:tc>
          <w:tcPr>
            <w:tcW w:type="dxa" w:w="2282"/>
            <w:vMerge/>
            <w:tcBorders/>
          </w:tcPr>
          <w:p/>
        </w:tc>
        <w:tc>
          <w:tcPr>
            <w:tcW w:type="dxa" w:w="10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96" w:after="0"/>
              <w:ind w:left="2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Ruční bourání nosných svislých konstrukcí se provádí zásadně směrem shora dolů.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72" w:after="0"/>
              <w:ind w:left="0" w:right="5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0"/>
              </w:rPr>
              <w:t></w:t>
            </w:r>
          </w:p>
        </w:tc>
      </w:tr>
      <w:tr>
        <w:trPr>
          <w:trHeight w:hRule="exact" w:val="720"/>
        </w:trPr>
        <w:tc>
          <w:tcPr>
            <w:tcW w:type="dxa" w:w="2282"/>
            <w:vMerge/>
            <w:tcBorders/>
          </w:tcPr>
          <w:p/>
        </w:tc>
        <w:tc>
          <w:tcPr>
            <w:tcW w:type="dxa" w:w="10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4" w:after="0"/>
              <w:ind w:left="296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Ruční bourání stropů s nosnou konstrukcí je dovoleno pouze, když jsou zdi nad ní zbourané,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jsou odkryté nosné prvky a ze stropů je odstraněn bouraný materiál.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64" w:after="0"/>
              <w:ind w:left="0" w:right="4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</w:t>
            </w:r>
          </w:p>
        </w:tc>
      </w:tr>
      <w:tr>
        <w:trPr>
          <w:trHeight w:hRule="exact" w:val="480"/>
        </w:trPr>
        <w:tc>
          <w:tcPr>
            <w:tcW w:type="dxa" w:w="2282"/>
            <w:vMerge/>
            <w:tcBorders/>
          </w:tcPr>
          <w:p/>
        </w:tc>
        <w:tc>
          <w:tcPr>
            <w:tcW w:type="dxa" w:w="10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00" w:after="0"/>
              <w:ind w:left="2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Vybouraný materiál se musí odstraňovat tak, aby nedošlo k přetížení podlah.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38" w:after="0"/>
              <w:ind w:left="0" w:right="8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</w:t>
            </w:r>
          </w:p>
        </w:tc>
      </w:tr>
      <w:tr>
        <w:trPr>
          <w:trHeight w:hRule="exact" w:val="740"/>
        </w:trPr>
        <w:tc>
          <w:tcPr>
            <w:tcW w:type="dxa" w:w="2282"/>
            <w:vMerge/>
            <w:tcBorders/>
          </w:tcPr>
          <w:p/>
        </w:tc>
        <w:tc>
          <w:tcPr>
            <w:tcW w:type="dxa" w:w="10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8" w:after="0"/>
              <w:ind w:left="296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Bourací práce nad sebou jsou zakázány, pokud nejsou v technologickém postupu stanoveny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podmínky zabezpečení pracovníků.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54" w:after="0"/>
              <w:ind w:left="0" w:right="5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</w:t>
            </w:r>
          </w:p>
        </w:tc>
      </w:tr>
      <w:tr>
        <w:trPr>
          <w:trHeight w:hRule="exact" w:val="760"/>
        </w:trPr>
        <w:tc>
          <w:tcPr>
            <w:tcW w:type="dxa" w:w="2282"/>
            <w:vMerge/>
            <w:tcBorders/>
          </w:tcPr>
          <w:p/>
        </w:tc>
        <w:tc>
          <w:tcPr>
            <w:tcW w:type="dxa" w:w="10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84" w:after="0"/>
              <w:ind w:left="296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Bourání nesmí být přerušeno, pokud není zajištěna stabilita bourané konstrukce nebo její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části.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96" w:after="0"/>
              <w:ind w:left="0" w:right="7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</w:t>
            </w:r>
          </w:p>
        </w:tc>
      </w:tr>
      <w:tr>
        <w:trPr>
          <w:trHeight w:hRule="exact" w:val="740"/>
        </w:trPr>
        <w:tc>
          <w:tcPr>
            <w:tcW w:type="dxa" w:w="2282"/>
            <w:vMerge/>
            <w:tcBorders/>
          </w:tcPr>
          <w:p/>
        </w:tc>
        <w:tc>
          <w:tcPr>
            <w:tcW w:type="dxa" w:w="10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0" w:after="0"/>
              <w:ind w:left="296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Postupné bourání staveb postavených panelovou technologií se smí provádět až po rozpojení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jednotlivých panelů a po předchozím zajištění jejich stability.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138" w:after="0"/>
              <w:ind w:left="0" w:right="4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</w:t>
            </w:r>
          </w:p>
        </w:tc>
      </w:tr>
      <w:tr>
        <w:trPr>
          <w:trHeight w:hRule="exact" w:val="1020"/>
        </w:trPr>
        <w:tc>
          <w:tcPr>
            <w:tcW w:type="dxa" w:w="2282"/>
            <w:vMerge/>
            <w:tcBorders/>
          </w:tcPr>
          <w:p/>
        </w:tc>
        <w:tc>
          <w:tcPr>
            <w:tcW w:type="dxa" w:w="10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296" w:right="26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Pokud se při bourání vyskytuje azbest, musí být ohrožený prostor vymezen kontrolovaným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pásmem, v němž nelze jíst, pít ani kouřit. Musí být podniknuta další opatření podle předem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stanoveného technologického postupu.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246" w:after="0"/>
              <w:ind w:left="0" w:right="5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</w:t>
            </w:r>
          </w:p>
        </w:tc>
      </w:tr>
      <w:tr>
        <w:trPr>
          <w:trHeight w:hRule="exact" w:val="680"/>
        </w:trPr>
        <w:tc>
          <w:tcPr>
            <w:tcW w:type="dxa" w:w="2282"/>
            <w:vMerge/>
            <w:tcBorders/>
          </w:tcPr>
          <w:p/>
        </w:tc>
        <w:tc>
          <w:tcPr>
            <w:tcW w:type="dxa" w:w="10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90" w:after="0"/>
              <w:ind w:left="2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S vybouraným materiálem obsahujícím azbest se zachází jako s nebezpečným odpadem.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44" w:after="0"/>
              <w:ind w:left="0" w:right="3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</w:t>
            </w:r>
          </w:p>
        </w:tc>
      </w:tr>
      <w:tr>
        <w:trPr>
          <w:trHeight w:hRule="exact" w:val="560"/>
        </w:trPr>
        <w:tc>
          <w:tcPr>
            <w:tcW w:type="dxa" w:w="2282"/>
            <w:vMerge/>
            <w:tcBorders/>
          </w:tcPr>
          <w:p/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04800" cy="317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6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819" cy="30353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19" cy="303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86" w:after="0"/>
              <w:ind w:left="0" w:right="132" w:firstLine="0"/>
              <w:jc w:val="right"/>
            </w:pPr>
            <w:r>
              <w:rPr>
                <w:u w:val="single" w:color="265a9b"/>
                <w:rFonts w:ascii="ArialMT" w:hAnsi="ArialMT" w:eastAsia="ArialMT"/>
                <w:b w:val="0"/>
                <w:i w:val="0"/>
                <w:color w:val="275B9B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</w:tr>
      <w:tr>
        <w:trPr>
          <w:trHeight w:hRule="exact" w:val="236"/>
        </w:trPr>
        <w:tc>
          <w:tcPr>
            <w:tcW w:type="dxa" w:w="2282"/>
            <w:vMerge/>
            <w:tcBorders/>
          </w:tcPr>
          <w:p/>
        </w:tc>
        <w:tc>
          <w:tcPr>
            <w:tcW w:type="dxa" w:w="2282"/>
            <w:vMerge/>
            <w:tcBorders/>
          </w:tcPr>
          <w:p/>
        </w:tc>
        <w:tc>
          <w:tcPr>
            <w:tcW w:type="dxa" w:w="2282"/>
            <w:vMerge/>
            <w:tcBorders/>
          </w:tcPr>
          <w:p/>
        </w:tc>
        <w:tc>
          <w:tcPr>
            <w:tcW w:type="dxa" w:w="6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26" w:after="0"/>
              <w:ind w:left="0" w:right="10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Vydáno 2021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4" w:right="264" w:bottom="136" w:left="2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vubp.cz/infomaterialy-bozp/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