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210"/>
        </w:trPr>
        <w:tc>
          <w:tcPr>
            <w:tcW w:type="dxa" w:w="11906"/>
            <w:tcBorders/>
            <w:shd w:fill="5e5e5e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36" w:val="left"/>
              </w:tabs>
              <w:autoSpaceDE w:val="0"/>
              <w:widowControl/>
              <w:spacing w:line="274" w:lineRule="auto" w:before="50" w:after="0"/>
              <w:ind w:left="1790" w:right="158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5F4F4"/>
                <w:sz w:val="44"/>
              </w:rPr>
              <w:t xml:space="preserve">БЕЗПЕКА ПРАЦІ – СПРАВА КОЖНОГО </w:t>
            </w:r>
            <w:r>
              <w:rPr>
                <w:rFonts w:ascii="Arial" w:hAnsi="Arial" w:eastAsia="Arial"/>
                <w:b/>
                <w:i w:val="0"/>
                <w:color w:val="F5F4F4"/>
                <w:sz w:val="44"/>
              </w:rPr>
              <w:t>РОБОТОДАВЦЯ ТА ПРАЦІВНИКА</w:t>
            </w:r>
          </w:p>
        </w:tc>
      </w:tr>
    </w:tbl>
    <w:p>
      <w:pPr>
        <w:autoSpaceDN w:val="0"/>
        <w:autoSpaceDE w:val="0"/>
        <w:widowControl/>
        <w:spacing w:line="290" w:lineRule="auto" w:before="24" w:after="0"/>
        <w:ind w:left="2552" w:right="0" w:firstLine="0"/>
        <w:jc w:val="left"/>
      </w:pPr>
      <w:r>
        <w:rPr>
          <w:rFonts w:ascii="Arial" w:hAnsi="Arial" w:eastAsia="Arial"/>
          <w:b w:val="0"/>
          <w:i w:val="0"/>
          <w:color w:val="922E1E"/>
          <w:sz w:val="56"/>
        </w:rPr>
        <w:t>ДЕМОНТАЖНІ РОБОТИ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1778000</wp:posOffset>
            </wp:positionV>
            <wp:extent cx="7569200" cy="8122114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81221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842" w:after="34"/>
        <w:ind w:left="0" w:right="1072" w:firstLine="0"/>
        <w:jc w:val="right"/>
      </w:pPr>
      <w:r>
        <w:rPr>
          <w:rFonts w:ascii="Arial" w:hAnsi="Arial" w:eastAsia="Arial"/>
          <w:b/>
          <w:i w:val="0"/>
          <w:color w:val="FFFFFF"/>
          <w:sz w:val="34"/>
        </w:rPr>
        <w:t xml:space="preserve">Підготовчі роботи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256"/>
        <w:gridCol w:w="2256"/>
        <w:gridCol w:w="2256"/>
        <w:gridCol w:w="2256"/>
      </w:tblGrid>
      <w:tr>
        <w:trPr>
          <w:trHeight w:hRule="exact" w:val="1142"/>
        </w:trPr>
        <w:tc>
          <w:tcPr>
            <w:tcW w:type="dxa" w:w="49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18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Демонтажні роботи в будівельній </w:t>
            </w:r>
          </w:p>
          <w:p>
            <w:pPr>
              <w:autoSpaceDN w:val="0"/>
              <w:tabs>
                <w:tab w:pos="1256" w:val="left"/>
                <w:tab w:pos="1932" w:val="left"/>
                <w:tab w:pos="3010" w:val="left"/>
              </w:tabs>
              <w:autoSpaceDE w:val="0"/>
              <w:widowControl/>
              <w:spacing w:line="286" w:lineRule="auto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галузі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за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своєю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природою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становлять підвищений ризик для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життя та здоров’я працівників, які їх </w:t>
            </w:r>
          </w:p>
          <w:p>
            <w:pPr>
              <w:autoSpaceDN w:val="0"/>
              <w:tabs>
                <w:tab w:pos="1670" w:val="left"/>
                <w:tab w:pos="2636" w:val="left"/>
                <w:tab w:pos="3446" w:val="left"/>
              </w:tabs>
              <w:autoSpaceDE w:val="0"/>
              <w:widowControl/>
              <w:spacing w:line="286" w:lineRule="auto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виконують.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Однак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вони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також </w:t>
            </w:r>
          </w:p>
          <w:p>
            <w:pPr>
              <w:autoSpaceDN w:val="0"/>
              <w:tabs>
                <w:tab w:pos="1316" w:val="left"/>
                <w:tab w:pos="2940" w:val="left"/>
              </w:tabs>
              <w:autoSpaceDE w:val="0"/>
              <w:widowControl/>
              <w:spacing w:line="286" w:lineRule="auto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можуть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загрожувати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оточенням </w:t>
            </w:r>
          </w:p>
          <w:p>
            <w:pPr>
              <w:autoSpaceDN w:val="0"/>
              <w:tabs>
                <w:tab w:pos="1318" w:val="left"/>
                <w:tab w:pos="2934" w:val="left"/>
              </w:tabs>
              <w:autoSpaceDE w:val="0"/>
              <w:widowControl/>
              <w:spacing w:line="286" w:lineRule="auto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будівлі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(наприклад,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обвалення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будівлі) зі значними наслідками.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Рівень ризику залежить від способу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виконання робіт з знесення, від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відносно безпечного знесення за </w:t>
            </w:r>
          </w:p>
          <w:p>
            <w:pPr>
              <w:autoSpaceDN w:val="0"/>
              <w:tabs>
                <w:tab w:pos="1662" w:val="left"/>
                <w:tab w:pos="2674" w:val="left"/>
                <w:tab w:pos="3242" w:val="left"/>
              </w:tabs>
              <w:autoSpaceDE w:val="0"/>
              <w:widowControl/>
              <w:spacing w:line="286" w:lineRule="auto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допомогою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машин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до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ручного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знесення, коли працівники можуть </w:t>
            </w:r>
          </w:p>
          <w:p>
            <w:pPr>
              <w:autoSpaceDN w:val="0"/>
              <w:tabs>
                <w:tab w:pos="2038" w:val="left"/>
                <w:tab w:pos="3098" w:val="left"/>
              </w:tabs>
              <w:autoSpaceDE w:val="0"/>
              <w:widowControl/>
              <w:spacing w:line="286" w:lineRule="auto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опинитися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під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загрозою </w:t>
            </w:r>
          </w:p>
          <w:p>
            <w:pPr>
              <w:autoSpaceDN w:val="0"/>
              <w:tabs>
                <w:tab w:pos="3036" w:val="left"/>
              </w:tabs>
              <w:autoSpaceDE w:val="0"/>
              <w:widowControl/>
              <w:spacing w:line="286" w:lineRule="auto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непередбачуваної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поведінки </w:t>
            </w:r>
          </w:p>
          <w:p>
            <w:pPr>
              <w:autoSpaceDN w:val="0"/>
              <w:tabs>
                <w:tab w:pos="1470" w:val="left"/>
                <w:tab w:pos="2740" w:val="left"/>
              </w:tabs>
              <w:autoSpaceDE w:val="0"/>
              <w:widowControl/>
              <w:spacing w:line="286" w:lineRule="auto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знесеної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споруди.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Стабільність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і міцність конструкції на окремих </w:t>
            </w:r>
          </w:p>
          <w:p>
            <w:pPr>
              <w:autoSpaceDN w:val="0"/>
              <w:tabs>
                <w:tab w:pos="1182" w:val="left"/>
                <w:tab w:pos="2394" w:val="left"/>
                <w:tab w:pos="3270" w:val="left"/>
              </w:tabs>
              <w:autoSpaceDE w:val="0"/>
              <w:widowControl/>
              <w:spacing w:line="286" w:lineRule="auto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етапах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знесення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важко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оцінити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заздалегідь. Це питання стосується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також частих реконструкційних робіт,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які часто проводяться під час повної </w:t>
            </w:r>
          </w:p>
          <w:p>
            <w:pPr>
              <w:autoSpaceDN w:val="0"/>
              <w:tabs>
                <w:tab w:pos="1882" w:val="left"/>
                <w:tab w:pos="2402" w:val="left"/>
              </w:tabs>
              <w:autoSpaceDE w:val="0"/>
              <w:widowControl/>
              <w:spacing w:line="286" w:lineRule="auto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експлуатації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в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модернізованих </w:t>
            </w:r>
          </w:p>
          <w:p>
            <w:pPr>
              <w:autoSpaceDN w:val="0"/>
              <w:tabs>
                <w:tab w:pos="1696" w:val="left"/>
                <w:tab w:pos="2910" w:val="left"/>
              </w:tabs>
              <w:autoSpaceDE w:val="0"/>
              <w:widowControl/>
              <w:spacing w:line="286" w:lineRule="auto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будівлях.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Аварії,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спричинені </w:t>
            </w:r>
          </w:p>
          <w:p>
            <w:pPr>
              <w:autoSpaceDN w:val="0"/>
              <w:tabs>
                <w:tab w:pos="2500" w:val="left"/>
              </w:tabs>
              <w:autoSpaceDE w:val="0"/>
              <w:widowControl/>
              <w:spacing w:line="286" w:lineRule="auto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неправильними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демонтажними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роботами, у цих випадках також не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є винятком.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4" w:after="0"/>
              <w:ind w:left="0" w:right="8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4" w:after="0"/>
              <w:ind w:left="116" w:right="11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Демонтажні роботи, під час яких уражені несучі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елементи будівельної конструкції, проводяться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лише за технологічним порядком, зазначеним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у документації на знесення. </w:t>
            </w:r>
          </w:p>
        </w:tc>
      </w:tr>
      <w:tr>
        <w:trPr>
          <w:trHeight w:hRule="exact" w:val="166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2" w:after="0"/>
              <w:ind w:left="0" w:right="8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Перед початком знесення або реконструкції, </w:t>
            </w:r>
          </w:p>
          <w:p>
            <w:pPr>
              <w:autoSpaceDN w:val="0"/>
              <w:tabs>
                <w:tab w:pos="1520" w:val="left"/>
                <w:tab w:pos="2846" w:val="left"/>
                <w:tab w:pos="4026" w:val="left"/>
              </w:tabs>
              <w:autoSpaceDE w:val="0"/>
              <w:widowControl/>
              <w:spacing w:line="286" w:lineRule="auto" w:before="0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підрядник,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принаймі,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повинен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забезпечити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проведення обстеження стану будівлі з точки зору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його статики, використаних матеріалів, технічного </w:t>
            </w:r>
          </w:p>
          <w:p>
            <w:pPr>
              <w:autoSpaceDN w:val="0"/>
              <w:tabs>
                <w:tab w:pos="1690" w:val="left"/>
                <w:tab w:pos="2972" w:val="left"/>
                <w:tab w:pos="3474" w:val="left"/>
              </w:tabs>
              <w:autoSpaceDE w:val="0"/>
              <w:widowControl/>
              <w:spacing w:line="286" w:lineRule="auto" w:before="0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обладнання,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розподілу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та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електропроводки,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визначення стану сусідніх будівель тощо . </w:t>
            </w:r>
          </w:p>
        </w:tc>
      </w:tr>
      <w:tr>
        <w:trPr>
          <w:trHeight w:hRule="exact" w:val="62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8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42" w:after="0"/>
              <w:ind w:left="116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Результати обстеження  необхідно зафіксувати із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зазначенням висновків. </w:t>
            </w:r>
          </w:p>
        </w:tc>
      </w:tr>
      <w:tr>
        <w:trPr>
          <w:trHeight w:hRule="exact" w:val="114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8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6" w:after="0"/>
              <w:ind w:left="116" w:right="11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За результатами обстеження та статичної оцінки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розробляється технологічний процес виконуваних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робіт, де вказується, як буде забезпечуватися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безпека праці. </w:t>
            </w:r>
          </w:p>
        </w:tc>
      </w:tr>
      <w:tr>
        <w:trPr>
          <w:trHeight w:hRule="exact" w:val="246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8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Технологічний процес передбачає узгодженість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окремих робочих операцій, способу вивезення та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зберігання матеріалів, способу вертикального та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горизонтального транспортування, закріплення </w:t>
            </w:r>
          </w:p>
          <w:p>
            <w:pPr>
              <w:autoSpaceDN w:val="0"/>
              <w:tabs>
                <w:tab w:pos="1658" w:val="left"/>
                <w:tab w:pos="3218" w:val="left"/>
                <w:tab w:pos="3558" w:val="left"/>
                <w:tab w:pos="4690" w:val="left"/>
              </w:tabs>
              <w:autoSpaceDE w:val="0"/>
              <w:widowControl/>
              <w:spacing w:line="286" w:lineRule="auto" w:before="0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будівельних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майданчиків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робочих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місць, </w:t>
            </w:r>
          </w:p>
          <w:p>
            <w:pPr>
              <w:autoSpaceDN w:val="0"/>
              <w:tabs>
                <w:tab w:pos="1802" w:val="left"/>
                <w:tab w:pos="2544" w:val="left"/>
                <w:tab w:pos="3054" w:val="left"/>
                <w:tab w:pos="3888" w:val="left"/>
              </w:tabs>
              <w:autoSpaceDE w:val="0"/>
              <w:widowControl/>
              <w:spacing w:line="286" w:lineRule="auto" w:before="0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використання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лісів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та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опор,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забезпечення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інженерних мереж, користування тимчасовим </w:t>
            </w:r>
          </w:p>
          <w:p>
            <w:pPr>
              <w:autoSpaceDN w:val="0"/>
              <w:tabs>
                <w:tab w:pos="2702" w:val="left"/>
                <w:tab w:pos="4554" w:val="left"/>
              </w:tabs>
              <w:autoSpaceDE w:val="0"/>
              <w:widowControl/>
              <w:spacing w:line="286" w:lineRule="auto" w:before="0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енергорозподілом,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визначення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засобів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індивідуального захисту. </w:t>
            </w:r>
          </w:p>
        </w:tc>
      </w:tr>
      <w:tr>
        <w:trPr>
          <w:trHeight w:hRule="exact" w:val="114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8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Технологічні процедури, що використовуються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при поводженні з азбестовмісними будівельними </w:t>
            </w:r>
          </w:p>
          <w:p>
            <w:pPr>
              <w:autoSpaceDN w:val="0"/>
              <w:tabs>
                <w:tab w:pos="1762" w:val="left"/>
                <w:tab w:pos="2804" w:val="left"/>
                <w:tab w:pos="3532" w:val="left"/>
                <w:tab w:pos="4926" w:val="left"/>
              </w:tabs>
              <w:autoSpaceDE w:val="0"/>
              <w:widowControl/>
              <w:spacing w:line="286" w:lineRule="auto" w:before="0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матеріалами,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повинні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бути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адаптовані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для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запобігання викиду азбестового пилу в повітря. </w:t>
            </w:r>
          </w:p>
        </w:tc>
      </w:tr>
      <w:tr>
        <w:trPr>
          <w:trHeight w:hRule="exact" w:val="142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8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Під час часткового знесення, реконструкції та </w:t>
            </w:r>
          </w:p>
          <w:p>
            <w:pPr>
              <w:autoSpaceDN w:val="0"/>
              <w:tabs>
                <w:tab w:pos="1828" w:val="left"/>
                <w:tab w:pos="3218" w:val="left"/>
                <w:tab w:pos="3918" w:val="left"/>
              </w:tabs>
              <w:autoSpaceDE w:val="0"/>
              <w:widowControl/>
              <w:spacing w:line="286" w:lineRule="auto" w:before="0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модернізації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будівель,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які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залишаються </w:t>
            </w:r>
          </w:p>
          <w:p>
            <w:pPr>
              <w:autoSpaceDN w:val="0"/>
              <w:tabs>
                <w:tab w:pos="472" w:val="left"/>
                <w:tab w:pos="1978" w:val="left"/>
                <w:tab w:pos="2332" w:val="left"/>
                <w:tab w:pos="3996" w:val="left"/>
              </w:tabs>
              <w:autoSpaceDE w:val="0"/>
              <w:widowControl/>
              <w:spacing w:line="286" w:lineRule="auto" w:before="0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в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експлуатаці,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в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технологічних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регламентах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мають бути зазначені способи забезпечення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захисту робочих місць, працівників та інш. </w:t>
            </w:r>
          </w:p>
        </w:tc>
      </w:tr>
      <w:tr>
        <w:trPr>
          <w:trHeight w:hRule="exact" w:val="140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8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98" w:val="left"/>
                <w:tab w:pos="2888" w:val="left"/>
                <w:tab w:pos="3372" w:val="left"/>
                <w:tab w:pos="4160" w:val="left"/>
              </w:tabs>
              <w:autoSpaceDE w:val="0"/>
              <w:widowControl/>
              <w:spacing w:line="257" w:lineRule="auto" w:before="24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Початок демонтажних робіт можливо лише на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базі письмового розпорядження відповідального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працівника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підрядника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та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після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оснащення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робочих місць конструкціями та матеріалами,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передбаченими технологічними процесами. </w:t>
            </w:r>
          </w:p>
        </w:tc>
      </w:tr>
      <w:tr>
        <w:trPr>
          <w:trHeight w:hRule="exact" w:val="110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0" w:right="8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0" w:after="0"/>
              <w:ind w:left="116" w:right="11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Входи, виходи, спуски на території будівлі, що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зноситься, окремі робочі місця повинні бути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огороджені протягом усього виконання робіт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і позначені наглядним способом.</w:t>
            </w:r>
          </w:p>
        </w:tc>
      </w:tr>
      <w:tr>
        <w:trPr>
          <w:trHeight w:hRule="exact" w:val="21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800" cy="317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6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4819" cy="3022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19" cy="30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7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88" w:after="0"/>
              <w:ind w:left="0" w:right="216" w:firstLine="0"/>
              <w:jc w:val="right"/>
            </w:pPr>
            <w:r>
              <w:rPr>
                <w:u w:val="single" w:color="265a9b"/>
                <w:rFonts w:ascii="ArialMT" w:hAnsi="ArialMT" w:eastAsia="ArialMT"/>
                <w:b w:val="0"/>
                <w:i w:val="0"/>
                <w:color w:val="275B9B"/>
                <w:sz w:val="20"/>
              </w:rPr>
              <w:hyperlink r:id="rId11" w:history="1">
                <w:r>
                  <w:rPr>
                    <w:rStyle w:val="Hyperlink"/>
                  </w:rPr>
                  <w:t>https://vubp.cz/infomaterialy-bozp/</w:t>
                </w:r>
              </w:hyperlink>
            </w:r>
          </w:p>
        </w:tc>
      </w:tr>
      <w:tr>
        <w:trPr>
          <w:trHeight w:hRule="exact" w:val="27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8" w:after="0"/>
              <w:ind w:left="0" w:right="10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Редакція 2022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20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01600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016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04" w:val="left"/>
        </w:tabs>
        <w:autoSpaceDE w:val="0"/>
        <w:widowControl/>
        <w:spacing w:line="274" w:lineRule="auto" w:before="0" w:after="0"/>
        <w:ind w:left="1558" w:right="1296" w:firstLine="0"/>
        <w:jc w:val="left"/>
      </w:pPr>
      <w:r>
        <w:rPr>
          <w:rFonts w:ascii="Arial" w:hAnsi="Arial" w:eastAsia="Arial"/>
          <w:b/>
          <w:i w:val="0"/>
          <w:color w:val="F5F4F4"/>
          <w:sz w:val="44"/>
        </w:rPr>
        <w:t xml:space="preserve">БЕЗПЕКА ПРАЦІ – СПРАВА КОЖНОГО </w:t>
      </w:r>
      <w:r>
        <w:rPr>
          <w:rFonts w:ascii="Arial" w:hAnsi="Arial" w:eastAsia="Arial"/>
          <w:b/>
          <w:i w:val="0"/>
          <w:color w:val="F5F4F4"/>
          <w:sz w:val="44"/>
        </w:rPr>
        <w:t>РОБОТОДАВЦЯ ТА ПРАЦІВНИКА</w:t>
      </w:r>
    </w:p>
    <w:p>
      <w:pPr>
        <w:autoSpaceDN w:val="0"/>
        <w:tabs>
          <w:tab w:pos="3906" w:val="left"/>
        </w:tabs>
        <w:autoSpaceDE w:val="0"/>
        <w:widowControl/>
        <w:spacing w:line="271" w:lineRule="auto" w:before="0" w:after="26"/>
        <w:ind w:left="2024" w:right="144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922E1E"/>
          <w:sz w:val="72"/>
        </w:rPr>
        <w:t xml:space="preserve">Принципи </w:t>
      </w:r>
      <w:r>
        <w:br/>
      </w:r>
      <w:r>
        <w:rPr>
          <w:rFonts w:ascii="Arial" w:hAnsi="Arial" w:eastAsia="Arial"/>
          <w:b w:val="0"/>
          <w:i w:val="0"/>
          <w:color w:val="922E1E"/>
          <w:sz w:val="72"/>
        </w:rPr>
        <w:t xml:space="preserve">демонтажних робіт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82"/>
        <w:gridCol w:w="2282"/>
        <w:gridCol w:w="2282"/>
        <w:gridCol w:w="2282"/>
        <w:gridCol w:w="2282"/>
      </w:tblGrid>
      <w:tr>
        <w:trPr>
          <w:trHeight w:hRule="exact" w:val="1272"/>
        </w:trPr>
        <w:tc>
          <w:tcPr>
            <w:tcW w:type="dxa" w:w="1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1170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1340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564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564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506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564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564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210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322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508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266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536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562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536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820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0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6" w:after="0"/>
              <w:ind w:left="296" w:right="38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До початку робіт із демонтажу необхідно встановити сигнал, за яким, у разі аварійної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ситуації, особа, призначена підрядником для керівництва роботами по зносу, дасть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вказівку негайно покинути робоче місце. Усі постраждалі фізичні особи мають бути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проінформовані про цей сигнал.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452" w:after="0"/>
              <w:ind w:left="0" w:right="3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</w:t>
            </w:r>
          </w:p>
        </w:tc>
      </w:tr>
      <w:tr>
        <w:trPr>
          <w:trHeight w:hRule="exact" w:val="1620"/>
        </w:trPr>
        <w:tc>
          <w:tcPr>
            <w:tcW w:type="dxa" w:w="2282"/>
            <w:vMerge/>
            <w:tcBorders/>
          </w:tcPr>
          <w:p/>
        </w:tc>
        <w:tc>
          <w:tcPr>
            <w:tcW w:type="dxa" w:w="10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48" w:val="left"/>
                <w:tab w:pos="2840" w:val="left"/>
                <w:tab w:pos="4946" w:val="left"/>
                <w:tab w:pos="6670" w:val="left"/>
                <w:tab w:pos="8064" w:val="left"/>
                <w:tab w:pos="9230" w:val="left"/>
              </w:tabs>
              <w:autoSpaceDE w:val="0"/>
              <w:widowControl/>
              <w:spacing w:line="286" w:lineRule="auto" w:before="76" w:after="0"/>
              <w:ind w:left="2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Постійний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нагляд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уповноваженою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підрядником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фізичною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особою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повинен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2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забезпечуватися під час знесення будівель вище землі, зняття вертикальних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2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конструкцій з висоти 3 м., зносу сходів та розширених частин, під час демонтажу, коли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2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безпека конструкцій змінюється, будівництва, а також якщо роботи з знесення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2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проводяться одночасно в двох або більше місцях в межах однієї знесеної споруди.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574" w:after="0"/>
              <w:ind w:left="0" w:right="2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</w:t>
            </w:r>
          </w:p>
        </w:tc>
      </w:tr>
      <w:tr>
        <w:trPr>
          <w:trHeight w:hRule="exact" w:val="740"/>
        </w:trPr>
        <w:tc>
          <w:tcPr>
            <w:tcW w:type="dxa" w:w="2282"/>
            <w:vMerge/>
            <w:tcBorders/>
          </w:tcPr>
          <w:p/>
        </w:tc>
        <w:tc>
          <w:tcPr>
            <w:tcW w:type="dxa" w:w="10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6" w:after="0"/>
              <w:ind w:left="300" w:right="144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Оточуючі будівлі повинні бути стійкі або сусідні будівлі повинні бути закріплені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в порядку, зазначеному в документації.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110" w:after="0"/>
              <w:ind w:left="0" w:right="7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</w:t>
            </w:r>
          </w:p>
        </w:tc>
      </w:tr>
      <w:tr>
        <w:trPr>
          <w:trHeight w:hRule="exact" w:val="740"/>
        </w:trPr>
        <w:tc>
          <w:tcPr>
            <w:tcW w:type="dxa" w:w="2282"/>
            <w:vMerge/>
            <w:tcBorders/>
          </w:tcPr>
          <w:p/>
        </w:tc>
        <w:tc>
          <w:tcPr>
            <w:tcW w:type="dxa" w:w="11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2" w:after="0"/>
              <w:ind w:left="288" w:right="2016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Демонтаж дахових конструкцій за допомогою канатів і буксирувальних машин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дозволяється лише за умови вжиття заходів щодо стійкості решти конструкції. </w:t>
            </w:r>
          </w:p>
        </w:tc>
      </w:tr>
      <w:tr>
        <w:trPr>
          <w:trHeight w:hRule="exact" w:val="740"/>
        </w:trPr>
        <w:tc>
          <w:tcPr>
            <w:tcW w:type="dxa" w:w="2282"/>
            <w:vMerge/>
            <w:tcBorders/>
          </w:tcPr>
          <w:p/>
        </w:tc>
        <w:tc>
          <w:tcPr>
            <w:tcW w:type="dxa" w:w="10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8" w:after="0"/>
              <w:ind w:left="296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Демонтаж перекриттів шляхом ослаблення фіксуючої частини конструкції здійснюється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лише механічним шляхом за умови, що їх обвал є безпечним для фізичних осіб.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94" w:after="0"/>
              <w:ind w:left="0" w:right="3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</w:t>
            </w:r>
          </w:p>
        </w:tc>
      </w:tr>
      <w:tr>
        <w:trPr>
          <w:trHeight w:hRule="exact" w:val="760"/>
        </w:trPr>
        <w:tc>
          <w:tcPr>
            <w:tcW w:type="dxa" w:w="2282"/>
            <w:vMerge/>
            <w:tcBorders/>
          </w:tcPr>
          <w:p/>
        </w:tc>
        <w:tc>
          <w:tcPr>
            <w:tcW w:type="dxa" w:w="11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84" w:after="0"/>
              <w:ind w:left="296" w:right="187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Якщо несуча здатність споруди, що зноситься, не забезпечена, знос необхідно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проводити від окремої допоміжної конструкції. </w:t>
            </w:r>
          </w:p>
        </w:tc>
      </w:tr>
      <w:tr>
        <w:trPr>
          <w:trHeight w:hRule="exact" w:val="720"/>
        </w:trPr>
        <w:tc>
          <w:tcPr>
            <w:tcW w:type="dxa" w:w="2282"/>
            <w:vMerge/>
            <w:tcBorders/>
          </w:tcPr>
          <w:p/>
        </w:tc>
        <w:tc>
          <w:tcPr>
            <w:tcW w:type="dxa" w:w="10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2" w:after="0"/>
              <w:ind w:left="326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При знесенні стін, які стабілізують виступаючі конструкції, наприклад, балкони або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еркери, необхідно іх закріпити, щоб не було небажаної втрати їх стійкості.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16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</w:t>
            </w:r>
          </w:p>
        </w:tc>
      </w:tr>
      <w:tr>
        <w:trPr>
          <w:trHeight w:hRule="exact" w:val="460"/>
        </w:trPr>
        <w:tc>
          <w:tcPr>
            <w:tcW w:type="dxa" w:w="2282"/>
            <w:vMerge/>
            <w:tcBorders/>
          </w:tcPr>
          <w:p/>
        </w:tc>
        <w:tc>
          <w:tcPr>
            <w:tcW w:type="dxa" w:w="10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98" w:after="0"/>
              <w:ind w:left="3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Елементи конструкції  можна зняти лише під час ручного знесення.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38" w:after="0"/>
              <w:ind w:left="0" w:right="8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0"/>
              </w:rPr>
              <w:t></w:t>
            </w:r>
          </w:p>
        </w:tc>
      </w:tr>
      <w:tr>
        <w:trPr>
          <w:trHeight w:hRule="exact" w:val="480"/>
        </w:trPr>
        <w:tc>
          <w:tcPr>
            <w:tcW w:type="dxa" w:w="2282"/>
            <w:vMerge/>
            <w:tcBorders/>
          </w:tcPr>
          <w:p/>
        </w:tc>
        <w:tc>
          <w:tcPr>
            <w:tcW w:type="dxa" w:w="10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98" w:after="0"/>
              <w:ind w:left="3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Ручне знесення несучих вертикальних конструкцій завжди проводиться зверху вниз.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72" w:after="0"/>
              <w:ind w:left="0" w:right="5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0"/>
              </w:rPr>
              <w:t></w:t>
            </w:r>
          </w:p>
        </w:tc>
      </w:tr>
      <w:tr>
        <w:trPr>
          <w:trHeight w:hRule="exact" w:val="720"/>
        </w:trPr>
        <w:tc>
          <w:tcPr>
            <w:tcW w:type="dxa" w:w="2282"/>
            <w:vMerge/>
            <w:tcBorders/>
          </w:tcPr>
          <w:p/>
        </w:tc>
        <w:tc>
          <w:tcPr>
            <w:tcW w:type="dxa" w:w="10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4" w:after="0"/>
              <w:ind w:left="296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Перекриття з несучою конструкцією зазвичай зносять вручну, спочатку видаляють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заповнюючи елементі  і маси з перекриттів.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64" w:after="0"/>
              <w:ind w:left="0" w:right="4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</w:t>
            </w:r>
          </w:p>
        </w:tc>
      </w:tr>
      <w:tr>
        <w:trPr>
          <w:trHeight w:hRule="exact" w:val="480"/>
        </w:trPr>
        <w:tc>
          <w:tcPr>
            <w:tcW w:type="dxa" w:w="2282"/>
            <w:vMerge/>
            <w:tcBorders/>
          </w:tcPr>
          <w:p/>
        </w:tc>
        <w:tc>
          <w:tcPr>
            <w:tcW w:type="dxa" w:w="10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00" w:after="0"/>
              <w:ind w:left="2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Знесений матеріал необхідно видалити таким чином, щоб підлоги не були перевантажені.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38" w:after="0"/>
              <w:ind w:left="0" w:right="8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</w:t>
            </w:r>
          </w:p>
        </w:tc>
      </w:tr>
      <w:tr>
        <w:trPr>
          <w:trHeight w:hRule="exact" w:val="740"/>
        </w:trPr>
        <w:tc>
          <w:tcPr>
            <w:tcW w:type="dxa" w:w="2282"/>
            <w:vMerge/>
            <w:tcBorders/>
          </w:tcPr>
          <w:p/>
        </w:tc>
        <w:tc>
          <w:tcPr>
            <w:tcW w:type="dxa" w:w="10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8" w:after="0"/>
              <w:ind w:left="296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Роботи на двох і більше рівнях по одній вертикалі заборонені, якщо це не зазначено у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технологічному порядку умов безпеки для працівників.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54" w:after="0"/>
              <w:ind w:left="0" w:right="5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</w:t>
            </w:r>
          </w:p>
        </w:tc>
      </w:tr>
      <w:tr>
        <w:trPr>
          <w:trHeight w:hRule="exact" w:val="760"/>
        </w:trPr>
        <w:tc>
          <w:tcPr>
            <w:tcW w:type="dxa" w:w="2282"/>
            <w:vMerge/>
            <w:tcBorders/>
          </w:tcPr>
          <w:p/>
        </w:tc>
        <w:tc>
          <w:tcPr>
            <w:tcW w:type="dxa" w:w="10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84" w:after="0"/>
              <w:ind w:left="296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Знесення не можна припиняти, якщо не забезпечена стійкість споруди або її частини,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що зноситься.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96" w:after="0"/>
              <w:ind w:left="0" w:right="7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</w:t>
            </w:r>
          </w:p>
        </w:tc>
      </w:tr>
      <w:tr>
        <w:trPr>
          <w:trHeight w:hRule="exact" w:val="740"/>
        </w:trPr>
        <w:tc>
          <w:tcPr>
            <w:tcW w:type="dxa" w:w="2282"/>
            <w:vMerge/>
            <w:tcBorders/>
          </w:tcPr>
          <w:p/>
        </w:tc>
        <w:tc>
          <w:tcPr>
            <w:tcW w:type="dxa" w:w="10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0" w:after="0"/>
              <w:ind w:left="296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Поступовий демонтаж будівель, побудованих за панельною технологією, можна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проводити лише після від’єднання окремих панелей та після забезпечення їх стійкості.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138" w:after="0"/>
              <w:ind w:left="0" w:right="4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</w:t>
            </w:r>
          </w:p>
        </w:tc>
      </w:tr>
      <w:tr>
        <w:trPr>
          <w:trHeight w:hRule="exact" w:val="1020"/>
        </w:trPr>
        <w:tc>
          <w:tcPr>
            <w:tcW w:type="dxa" w:w="2282"/>
            <w:vMerge/>
            <w:tcBorders/>
          </w:tcPr>
          <w:p/>
        </w:tc>
        <w:tc>
          <w:tcPr>
            <w:tcW w:type="dxa" w:w="10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296" w:right="38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Якщо під час демонтажу в будови присутній азбест, територія має бути відмежована та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контрольована, де не можна їсти, пити чи палити. Додаткові заходи мають бути вжиті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заздалегідь визначеною технологічною процедурою.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246" w:after="0"/>
              <w:ind w:left="0" w:right="5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</w:t>
            </w:r>
          </w:p>
        </w:tc>
      </w:tr>
      <w:tr>
        <w:trPr>
          <w:trHeight w:hRule="exact" w:val="680"/>
        </w:trPr>
        <w:tc>
          <w:tcPr>
            <w:tcW w:type="dxa" w:w="2282"/>
            <w:vMerge/>
            <w:tcBorders/>
          </w:tcPr>
          <w:p/>
        </w:tc>
        <w:tc>
          <w:tcPr>
            <w:tcW w:type="dxa" w:w="10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90" w:after="0"/>
              <w:ind w:left="2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Знесений матеріал, що містить азбест, відноситься до небезпечних відходів.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44" w:after="0"/>
              <w:ind w:left="0" w:right="3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</w:t>
            </w:r>
          </w:p>
        </w:tc>
      </w:tr>
      <w:tr>
        <w:trPr>
          <w:trHeight w:hRule="exact" w:val="560"/>
        </w:trPr>
        <w:tc>
          <w:tcPr>
            <w:tcW w:type="dxa" w:w="2282"/>
            <w:vMerge/>
            <w:tcBorders/>
          </w:tcPr>
          <w:p/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04800" cy="317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6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4819" cy="30353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19" cy="303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86" w:after="0"/>
              <w:ind w:left="0" w:right="132" w:firstLine="0"/>
              <w:jc w:val="right"/>
            </w:pPr>
            <w:r>
              <w:rPr>
                <w:u w:val="single" w:color="265a9b"/>
                <w:rFonts w:ascii="ArialMT" w:hAnsi="ArialMT" w:eastAsia="ArialMT"/>
                <w:b w:val="0"/>
                <w:i w:val="0"/>
                <w:color w:val="275B9B"/>
                <w:sz w:val="20"/>
              </w:rPr>
              <w:hyperlink r:id="rId11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</w:p>
        </w:tc>
      </w:tr>
      <w:tr>
        <w:trPr>
          <w:trHeight w:hRule="exact" w:val="236"/>
        </w:trPr>
        <w:tc>
          <w:tcPr>
            <w:tcW w:type="dxa" w:w="2282"/>
            <w:vMerge/>
            <w:tcBorders/>
          </w:tcPr>
          <w:p/>
        </w:tc>
        <w:tc>
          <w:tcPr>
            <w:tcW w:type="dxa" w:w="2282"/>
            <w:vMerge/>
            <w:tcBorders/>
          </w:tcPr>
          <w:p/>
        </w:tc>
        <w:tc>
          <w:tcPr>
            <w:tcW w:type="dxa" w:w="2282"/>
            <w:vMerge/>
            <w:tcBorders/>
          </w:tcPr>
          <w:p/>
        </w:tc>
        <w:tc>
          <w:tcPr>
            <w:tcW w:type="dxa" w:w="6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26" w:after="0"/>
              <w:ind w:left="0" w:right="9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Редакція 2022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24" w:right="264" w:bottom="136" w:left="2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vubp.cz/infomaterialy-bozp/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