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e5e5e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45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>ZAMĚSTNAVATELE A ZAMĚSTNANCE</w:t>
            </w:r>
          </w:p>
        </w:tc>
      </w:tr>
    </w:tbl>
    <w:p>
      <w:pPr>
        <w:autoSpaceDN w:val="0"/>
        <w:tabs>
          <w:tab w:pos="2566" w:val="left"/>
        </w:tabs>
        <w:autoSpaceDE w:val="0"/>
        <w:widowControl/>
        <w:spacing w:line="245" w:lineRule="auto" w:before="98" w:after="0"/>
        <w:ind w:left="2268" w:right="1728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CD1719"/>
          <w:sz w:val="72"/>
        </w:rPr>
        <w:t xml:space="preserve">CHEMICKÉ LÁTKY </w:t>
      </w:r>
      <w:r>
        <w:rPr>
          <w:rFonts w:ascii="Arial" w:hAnsi="Arial" w:eastAsia="Arial"/>
          <w:b w:val="0"/>
          <w:i w:val="0"/>
          <w:color w:val="CD1719"/>
          <w:sz w:val="72"/>
        </w:rPr>
        <w:t>A CHEMICKÉ SMĚSI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1358900</wp:posOffset>
            </wp:positionV>
            <wp:extent cx="6858000" cy="7543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4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78" w:val="left"/>
          <w:tab w:pos="3842" w:val="left"/>
        </w:tabs>
        <w:autoSpaceDE w:val="0"/>
        <w:widowControl/>
        <w:spacing w:line="245" w:lineRule="auto" w:before="248" w:after="100"/>
        <w:ind w:left="2982" w:right="1584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FFFFFF"/>
          <w:sz w:val="34"/>
        </w:rPr>
        <w:t xml:space="preserve">ZÁKLADNÍ OBECNÉ INFORMACE </w:t>
      </w:r>
      <w:r>
        <w:br/>
      </w:r>
      <w:r>
        <w:rPr>
          <w:rFonts w:ascii="Arial" w:hAnsi="Arial" w:eastAsia="Arial"/>
          <w:b/>
          <w:i w:val="0"/>
          <w:color w:val="FFFFFF"/>
          <w:sz w:val="34"/>
        </w:rPr>
        <w:t xml:space="preserve">O BEZPEČNÉM ZACHÁZENÍ S CHEMICKÝMI </w:t>
      </w:r>
      <w:r>
        <w:tab/>
      </w:r>
      <w:r>
        <w:rPr>
          <w:rFonts w:ascii="Arial" w:hAnsi="Arial" w:eastAsia="Arial"/>
          <w:b/>
          <w:i w:val="0"/>
          <w:color w:val="FFFFFF"/>
          <w:sz w:val="34"/>
        </w:rPr>
        <w:t>LÁTKAMI A CHEMICKÝMI SMĚSMI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3"/>
        <w:gridCol w:w="4513"/>
      </w:tblGrid>
      <w:tr>
        <w:trPr>
          <w:trHeight w:hRule="exact" w:val="95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210" w:after="0"/>
              <w:ind w:left="0" w:right="43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</w:t>
            </w:r>
          </w:p>
        </w:tc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434" w:right="43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Zjisti vlastnosti a další náležitosti týkající se předmětné chemické látky nebo chemické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směsi (dá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hyperlink r:id="rId9" w:history="1">
                <w:r>
                  <w:rPr>
                    <w:rStyle w:val="Hyperlink"/>
                  </w:rPr>
                  <w:t>le jen CHLS) v bezpečnostním listu, popř. v datab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ázi ECHA (European Chemicals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Agency):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hyperlink r:id="rId9" w:history="1">
                <w:r>
                  <w:rPr>
                    <w:rStyle w:val="Hyperlink"/>
                  </w:rPr>
                  <w:t>https://echa.europa.eu/information-on-chemicals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66" w:lineRule="auto" w:before="64" w:after="30"/>
        <w:ind w:left="2234" w:right="864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Seznam se s provozními předpisy, technickými instrukcemi, s dokumenty havarijní </w:t>
      </w:r>
      <w:r>
        <w:rPr>
          <w:rFonts w:ascii="ArialMT" w:hAnsi="ArialMT" w:eastAsia="ArialMT"/>
          <w:b w:val="0"/>
          <w:i w:val="0"/>
          <w:color w:val="FFFFFF"/>
          <w:sz w:val="22"/>
        </w:rPr>
        <w:t>připravenosti, popř. s dalšími vztažnými dokumenty pro dané pracoviště.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3"/>
        <w:gridCol w:w="4513"/>
      </w:tblGrid>
      <w:tr>
        <w:trPr>
          <w:trHeight w:hRule="exact" w:val="87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50" w:after="0"/>
              <w:ind w:left="0" w:right="43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</w:t>
            </w:r>
          </w:p>
        </w:tc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" w:after="0"/>
              <w:ind w:left="434" w:right="43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Při práci s CHLS buď soustředěný, dodržuj pracovní postup a bezpečnostní pokyny, používej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vhodné osobní ochranné pracovní prostředky (OOPP). Zamez vstupu nepovolaných osob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na pracoviště.</w:t>
            </w:r>
          </w:p>
        </w:tc>
      </w:tr>
    </w:tbl>
    <w:p>
      <w:pPr>
        <w:autoSpaceDN w:val="0"/>
        <w:autoSpaceDE w:val="0"/>
        <w:widowControl/>
        <w:spacing w:line="262" w:lineRule="auto" w:before="10" w:after="0"/>
        <w:ind w:left="2234" w:right="904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Na pracovišti udržuj pořádek. Zkontroluj vybavení pracoviště dostatečným množstvím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vhodných hasicích prostředků, asanačních prostředků, prostředků první pomoci a OOPP </w:t>
      </w:r>
      <w:r>
        <w:rPr>
          <w:rFonts w:ascii="ArialMT" w:hAnsi="ArialMT" w:eastAsia="ArialMT"/>
          <w:b w:val="0"/>
          <w:i w:val="0"/>
          <w:color w:val="FFFFFF"/>
          <w:sz w:val="22"/>
        </w:rPr>
        <w:t>pro pracovní i havarijní účely.</w:t>
      </w:r>
    </w:p>
    <w:p>
      <w:pPr>
        <w:autoSpaceDN w:val="0"/>
        <w:autoSpaceDE w:val="0"/>
        <w:widowControl/>
        <w:spacing w:line="254" w:lineRule="auto" w:before="92" w:after="0"/>
        <w:ind w:left="2234" w:right="898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Zkontroluj stav obalů CHLS. Zkontroluj stav zařízení pro nakládání s CHLS. Skladuj CHLS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jen na místech k tomu určených, v předepsaném množství a odpovídajících obalech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s vyznačením obsahu a s bezpečnostním označením podle klasifikace CHLS. Zabraň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společnému skladování CHLS, které spolu mohou nebezpečně reagovat. Přebytečné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množství CHLS nevracej do původního obalu. Nepřechovávej CHLS v obalech běžně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používaných na poživatiny a krmiva. Nepoužívej CHLS s prošlou expirační dobou. Ukládej </w:t>
      </w:r>
      <w:r>
        <w:rPr>
          <w:rFonts w:ascii="ArialMT" w:hAnsi="ArialMT" w:eastAsia="ArialMT"/>
          <w:b w:val="0"/>
          <w:i w:val="0"/>
          <w:color w:val="FFFFFF"/>
          <w:sz w:val="22"/>
        </w:rPr>
        <w:t>správně odpady.</w:t>
      </w:r>
    </w:p>
    <w:p>
      <w:pPr>
        <w:autoSpaceDN w:val="0"/>
        <w:autoSpaceDE w:val="0"/>
        <w:widowControl/>
        <w:spacing w:line="257" w:lineRule="auto" w:before="34" w:after="0"/>
        <w:ind w:left="2230" w:right="906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Zajisti dostatečný pracovní a manipulační prostor umožňující bezpečné provádění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požadovaných operací, zkontroluj funkčnost systému větrání nebo odsávání plynů, par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a prachů CHLS, aby byly dodrženy hygienické normy (PEL, NPK-P). Zamez stékání kapalin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do vybrání a prohlubní strojů a zařízení, případně podlah, usazování prachů na povrchu </w:t>
      </w:r>
      <w:r>
        <w:rPr>
          <w:rFonts w:ascii="ArialMT" w:hAnsi="ArialMT" w:eastAsia="ArialMT"/>
          <w:b w:val="0"/>
          <w:i w:val="0"/>
          <w:color w:val="FFFFFF"/>
          <w:sz w:val="22"/>
        </w:rPr>
        <w:t>předmětů a konstrukcí, hromadění plynů a par v obtížně větratelných koutech místností.</w:t>
      </w:r>
    </w:p>
    <w:p>
      <w:pPr>
        <w:autoSpaceDN w:val="0"/>
        <w:autoSpaceDE w:val="0"/>
        <w:widowControl/>
        <w:spacing w:line="259" w:lineRule="auto" w:before="84" w:after="0"/>
        <w:ind w:left="2234" w:right="904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Při práci v uzavřených prostorách, nádobách a nádržích s výskytem plynů, par či prachů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CHLS zajisti kontrolu další osobou zvenčí (mimo ohrožený prostor) a průběžně sleduj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nebezpečné koncentrace CHLS a minimální koncentraci kyslíku ve vzduchu v daném </w:t>
      </w:r>
      <w:r>
        <w:rPr>
          <w:rFonts w:ascii="ArialMT" w:hAnsi="ArialMT" w:eastAsia="ArialMT"/>
          <w:b w:val="0"/>
          <w:i w:val="0"/>
          <w:color w:val="FFFFFF"/>
          <w:sz w:val="22"/>
        </w:rPr>
        <w:t>prostředí.</w:t>
      </w:r>
    </w:p>
    <w:p>
      <w:pPr>
        <w:autoSpaceDN w:val="0"/>
        <w:tabs>
          <w:tab w:pos="2230" w:val="left"/>
        </w:tabs>
        <w:autoSpaceDE w:val="0"/>
        <w:widowControl/>
        <w:spacing w:line="308" w:lineRule="exact" w:before="76" w:after="0"/>
        <w:ind w:left="1110" w:right="0" w:firstLine="0"/>
        <w:jc w:val="left"/>
      </w:pPr>
      <w:r>
        <w:rPr>
          <w:rFonts w:ascii="FontAwesome" w:hAnsi="FontAwesome" w:eastAsia="FontAwesome"/>
          <w:b w:val="0"/>
          <w:i w:val="0"/>
          <w:color w:val="FFFFFF"/>
          <w:sz w:val="28"/>
        </w:rPr>
        <w:t>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Kontroluj provozní parametry.</w:t>
      </w:r>
    </w:p>
    <w:p>
      <w:pPr>
        <w:autoSpaceDN w:val="0"/>
        <w:autoSpaceDE w:val="0"/>
        <w:widowControl/>
        <w:spacing w:line="286" w:lineRule="auto" w:before="102" w:after="0"/>
        <w:ind w:left="2234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Dodržuj osobní hygienu.</w:t>
      </w:r>
    </w:p>
    <w:p>
      <w:pPr>
        <w:autoSpaceDN w:val="0"/>
        <w:autoSpaceDE w:val="0"/>
        <w:widowControl/>
        <w:spacing w:line="286" w:lineRule="auto" w:before="102" w:after="288"/>
        <w:ind w:left="2234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Při nežádoucí události postupuj podle dokumentů havarijní připravenosti.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0.0" w:type="dxa"/>
      </w:tblPr>
      <w:tblGrid>
        <w:gridCol w:w="3009"/>
        <w:gridCol w:w="3009"/>
        <w:gridCol w:w="3009"/>
      </w:tblGrid>
      <w:tr>
        <w:trPr>
          <w:trHeight w:hRule="exact" w:val="1616"/>
        </w:trPr>
        <w:tc>
          <w:tcPr>
            <w:tcW w:type="dxa" w:w="111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170"/>
            </w:tblGrid>
            <w:tr>
              <w:trPr>
                <w:trHeight w:hRule="exact" w:val="1596"/>
              </w:trPr>
              <w:tc>
                <w:tcPr>
                  <w:tcW w:type="dxa" w:w="10828"/>
                  <w:tcBorders/>
                  <w:shd w:fill="5e5e5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12" w:after="0"/>
                    <w:ind w:left="298" w:right="180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Výše uvedené informace jsou pouze obecné a budou se lišit či budou doplněny o další informace, které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jsou typické pro různé třídy nebezpečnosti a kategorie nebezpečnosti CHLS, a o konkrétní informace pro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přítomné CHLS na pracovišti. Při potřebě dalších informací se neváhej zeptat vedoucího pracovníka. Při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nestandardním chování předmětného skladovacího/výrobního/transportního systému ihned reaguj s klidem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>a rozvahou; při zanedbání varovných příznaků může dojít i k závažné havárii.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56"/>
        </w:trPr>
        <w:tc>
          <w:tcPr>
            <w:tcW w:type="dxa" w:w="8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3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3550" cy="3022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302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84" w:after="0"/>
              <w:ind w:left="0" w:right="198" w:firstLine="0"/>
              <w:jc w:val="right"/>
            </w:pPr>
            <w:r>
              <w:rPr>
                <w:u w:val="single" w:color="265a9b"/>
                <w:rFonts w:ascii="ArialMT" w:hAnsi="ArialMT" w:eastAsia="ArialMT"/>
                <w:b w:val="0"/>
                <w:i w:val="0"/>
                <w:color w:val="275B9B"/>
                <w:sz w:val="20"/>
              </w:rPr>
              <w:hyperlink r:id="rId12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28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6" w:after="0"/>
              <w:ind w:left="0" w:right="1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Vydáno 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11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cha.europa.eu/information-on-chemical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vubp.cz/infomaterialy-bozp/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