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6"/>
      </w:tblGrid>
      <w:tr>
        <w:trPr>
          <w:trHeight w:hRule="exact" w:val="1210"/>
        </w:trPr>
        <w:tc>
          <w:tcPr>
            <w:tcW w:type="dxa" w:w="11906"/>
            <w:tcBorders/>
            <w:shd w:fill="55585a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80" w:val="left"/>
              </w:tabs>
              <w:autoSpaceDE w:val="0"/>
              <w:widowControl/>
              <w:spacing w:line="245" w:lineRule="auto" w:before="50" w:after="0"/>
              <w:ind w:left="1844" w:right="158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EFEFEF"/>
                <w:sz w:val="44"/>
              </w:rPr>
              <w:t xml:space="preserve">БЕЗПЕКА ПРАЦІ – СПРАВА КОЖНОГО </w:t>
            </w:r>
            <w:r>
              <w:rPr>
                <w:rFonts w:ascii="Arial" w:hAnsi="Arial" w:eastAsia="Arial"/>
                <w:b/>
                <w:i w:val="0"/>
                <w:color w:val="EFEFEF"/>
                <w:sz w:val="44"/>
              </w:rPr>
              <w:t>РОБОТОДАВЦЯ ТА ПРАЦІВНИКА</w:t>
            </w:r>
          </w:p>
        </w:tc>
      </w:tr>
    </w:tbl>
    <w:p>
      <w:pPr>
        <w:autoSpaceDN w:val="0"/>
        <w:tabs>
          <w:tab w:pos="4360" w:val="left"/>
        </w:tabs>
        <w:autoSpaceDE w:val="0"/>
        <w:widowControl/>
        <w:spacing w:line="245" w:lineRule="auto" w:before="0" w:after="0"/>
        <w:ind w:left="2412" w:right="1584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D2232A"/>
          <w:sz w:val="72"/>
        </w:rPr>
        <w:t xml:space="preserve">ХІМІКАТИ </w:t>
      </w:r>
      <w:r>
        <w:br/>
      </w:r>
      <w:r>
        <w:rPr>
          <w:rFonts w:ascii="Arial" w:hAnsi="Arial" w:eastAsia="Arial"/>
          <w:b w:val="0"/>
          <w:i w:val="0"/>
          <w:color w:val="D2232A"/>
          <w:sz w:val="72"/>
        </w:rPr>
        <w:t>ТА ХІМІЧНІ СУМІШІ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1206500</wp:posOffset>
            </wp:positionV>
            <wp:extent cx="6858000" cy="75946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59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578" w:val="left"/>
          <w:tab w:pos="4334" w:val="left"/>
        </w:tabs>
        <w:autoSpaceDE w:val="0"/>
        <w:widowControl/>
        <w:spacing w:line="245" w:lineRule="auto" w:before="66" w:after="100"/>
        <w:ind w:left="3424" w:right="2016" w:firstLine="0"/>
        <w:jc w:val="left"/>
      </w:pPr>
      <w:r>
        <w:tab/>
      </w:r>
      <w:r>
        <w:rPr>
          <w:rFonts w:ascii="Arial" w:hAnsi="Arial" w:eastAsia="Arial"/>
          <w:b/>
          <w:i w:val="0"/>
          <w:color w:val="FFFFFF"/>
          <w:sz w:val="34"/>
        </w:rPr>
        <w:t xml:space="preserve">ОСНОВНА ЗАГАЛЬНА ІНФОРМАЦІЯ </w:t>
      </w:r>
      <w:r>
        <w:rPr>
          <w:rFonts w:ascii="Arial" w:hAnsi="Arial" w:eastAsia="Arial"/>
          <w:b/>
          <w:i w:val="0"/>
          <w:color w:val="FFFFFF"/>
          <w:sz w:val="34"/>
        </w:rPr>
        <w:t xml:space="preserve">ПРО БЕЗПЕЧНИЙ ОБІГ З ХІМІКАТАМИ </w:t>
      </w:r>
      <w:r>
        <w:tab/>
      </w:r>
      <w:r>
        <w:tab/>
      </w:r>
      <w:r>
        <w:rPr>
          <w:rFonts w:ascii="Arial" w:hAnsi="Arial" w:eastAsia="Arial"/>
          <w:b/>
          <w:i w:val="0"/>
          <w:color w:val="FFFFFF"/>
          <w:sz w:val="34"/>
        </w:rPr>
        <w:t>ТА ХІМІЧНИМИ СУМІШАМИ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513"/>
        <w:gridCol w:w="4513"/>
      </w:tblGrid>
      <w:tr>
        <w:trPr>
          <w:trHeight w:hRule="exact" w:val="950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212" w:after="0"/>
              <w:ind w:left="0" w:right="432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34"/>
              </w:rPr>
              <w:t></w:t>
            </w:r>
          </w:p>
        </w:tc>
        <w:tc>
          <w:tcPr>
            <w:tcW w:type="dxa" w:w="9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0" w:after="0"/>
              <w:ind w:left="434" w:right="438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Дізнайтеся властивості та інші вимоги, пов’язані з хімічною речовиною або хімічною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сумішшю (далі - ХРС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hyperlink r:id="rId9" w:history="1">
                <w:r>
                  <w:rPr>
                    <w:rStyle w:val="Hyperlink"/>
                  </w:rPr>
                  <w:t>) у паспорті безпеки або у базі даних EC</w:t>
                </w:r>
              </w:hyperlink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HA (Європейське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агентство з хімікатів):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hyperlink r:id="rId9" w:history="1">
                <w:r>
                  <w:rPr>
                    <w:rStyle w:val="Hyperlink"/>
                  </w:rPr>
                  <w:t>https://echa.europa.eu/information-on-chemicals</w:t>
                </w:r>
              </w:hyperlink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66" w:lineRule="auto" w:before="64" w:after="30"/>
        <w:ind w:left="2234" w:right="864" w:firstLine="0"/>
        <w:jc w:val="left"/>
      </w:pP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Ознайомтеся з переліком правил експлуатації, технічних інструкцій, документів </w:t>
      </w:r>
      <w:r>
        <w:rPr>
          <w:rFonts w:ascii="ArialMT" w:hAnsi="ArialMT" w:eastAsia="ArialMT"/>
          <w:b w:val="0"/>
          <w:i w:val="0"/>
          <w:color w:val="FFFFFF"/>
          <w:sz w:val="22"/>
        </w:rPr>
        <w:t>аварійної готовності або з іншими довідковими документами на дане робоче місце.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513"/>
        <w:gridCol w:w="4513"/>
      </w:tblGrid>
      <w:tr>
        <w:trPr>
          <w:trHeight w:hRule="exact" w:val="868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250" w:after="0"/>
              <w:ind w:left="0" w:right="432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34"/>
              </w:rPr>
              <w:t></w:t>
            </w:r>
          </w:p>
        </w:tc>
        <w:tc>
          <w:tcPr>
            <w:tcW w:type="dxa" w:w="9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0" w:after="0"/>
              <w:ind w:left="434" w:right="436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При роботі з ХРС будьте зосереджені, дотримуйтесь порядку роботи та інструкцій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з техніки безпеки, користуйтеся відповідними засобами індивідуального захисту (ЗІЗ).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Запобігайте несанкціонованому входу на робоче місце.</w:t>
            </w:r>
          </w:p>
        </w:tc>
      </w:tr>
    </w:tbl>
    <w:p>
      <w:pPr>
        <w:autoSpaceDN w:val="0"/>
        <w:autoSpaceDE w:val="0"/>
        <w:widowControl/>
        <w:spacing w:line="262" w:lineRule="auto" w:before="12" w:after="0"/>
        <w:ind w:left="2234" w:right="902" w:firstLine="0"/>
        <w:jc w:val="both"/>
      </w:pP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Тримайте своє робоче місце в порядку. Перевірте оснащення робочого місця </w:t>
      </w: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достатньою кількістю відповідних вогнегасних засобів, засобів ліквідації, засобів </w:t>
      </w:r>
      <w:r>
        <w:rPr>
          <w:rFonts w:ascii="ArialMT" w:hAnsi="ArialMT" w:eastAsia="ArialMT"/>
          <w:b w:val="0"/>
          <w:i w:val="0"/>
          <w:color w:val="FFFFFF"/>
          <w:sz w:val="22"/>
        </w:rPr>
        <w:t>першої допомоги та ЗІЗ для роботи та аварійних цілей.</w:t>
      </w:r>
    </w:p>
    <w:p>
      <w:pPr>
        <w:autoSpaceDN w:val="0"/>
        <w:autoSpaceDE w:val="0"/>
        <w:widowControl/>
        <w:spacing w:line="254" w:lineRule="auto" w:before="76" w:after="0"/>
        <w:ind w:left="2234" w:right="864" w:firstLine="0"/>
        <w:jc w:val="left"/>
      </w:pPr>
      <w:r>
        <w:rPr>
          <w:rFonts w:ascii="ArialMT" w:hAnsi="ArialMT" w:eastAsia="ArialMT"/>
          <w:b w:val="0"/>
          <w:i w:val="0"/>
          <w:color w:val="FFFFFF"/>
          <w:sz w:val="22"/>
        </w:rPr>
        <w:t>Перевірте стан пакетів з хімічною речовиною, сумішшю та стан та стан підйомно-</w:t>
      </w: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транспортного обладнання для них. Зберігайте хімічні речовини тільки у відведених для </w:t>
      </w: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цього місцях, у встановленій кількості та у відповідній упаковці з маркуванням вмісту </w:t>
      </w: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та маркуванням безпеки відповідно до класифікації. Уникайте спільного зберігання </w:t>
      </w: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ХРС, що може дати небезпечну реакцію. Не зберігайте ХРС в упаковці, яка зазвичай </w:t>
      </w: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використовується для харчових продуктів та кормів. Не використовуйте прострочений </w:t>
      </w:r>
      <w:r>
        <w:rPr>
          <w:rFonts w:ascii="ArialMT" w:hAnsi="ArialMT" w:eastAsia="ArialMT"/>
          <w:b w:val="0"/>
          <w:i w:val="0"/>
          <w:color w:val="FFFFFF"/>
          <w:sz w:val="22"/>
        </w:rPr>
        <w:t>ХРС. Правильно утилізуйте відходи.</w:t>
      </w:r>
    </w:p>
    <w:p>
      <w:pPr>
        <w:autoSpaceDN w:val="0"/>
        <w:autoSpaceDE w:val="0"/>
        <w:widowControl/>
        <w:spacing w:line="257" w:lineRule="auto" w:before="48" w:after="0"/>
        <w:ind w:left="2230" w:right="906" w:firstLine="0"/>
        <w:jc w:val="both"/>
      </w:pP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Забезпечте достатній робочий та вантажний простір для безпечного виконання </w:t>
      </w: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необхідних операцій, перевірте функціональність вентиляційної або витяжної системи </w:t>
      </w: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газів, пару та пилу на відповідність гігієнічним нормам. Не допускайте стікання рідин </w:t>
      </w: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у поглиблення обладнання або підлог, осідання пилу на будь-якій поверхні, скупчення </w:t>
      </w:r>
      <w:r>
        <w:rPr>
          <w:rFonts w:ascii="ArialMT" w:hAnsi="ArialMT" w:eastAsia="ArialMT"/>
          <w:b w:val="0"/>
          <w:i w:val="0"/>
          <w:color w:val="FFFFFF"/>
          <w:sz w:val="22"/>
        </w:rPr>
        <w:t>газів і пару у приміщеннях, що важко провітрюються.</w:t>
      </w:r>
    </w:p>
    <w:p>
      <w:pPr>
        <w:autoSpaceDN w:val="0"/>
        <w:autoSpaceDE w:val="0"/>
        <w:widowControl/>
        <w:spacing w:line="259" w:lineRule="auto" w:before="84" w:after="0"/>
        <w:ind w:left="2234" w:right="904" w:firstLine="0"/>
        <w:jc w:val="both"/>
      </w:pP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При роботах у закритих приміщеннях та ємностях з наявністю газів, парів чи пилу </w:t>
      </w: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хімічних речовин та сумішей, забезпечте контроль із безпечної зони і постійно </w:t>
      </w: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контролюйте небезпечні концентрації ХРС та мінімальну концентрацію кисню у повітрі </w:t>
      </w:r>
      <w:r>
        <w:rPr>
          <w:rFonts w:ascii="ArialMT" w:hAnsi="ArialMT" w:eastAsia="ArialMT"/>
          <w:b w:val="0"/>
          <w:i w:val="0"/>
          <w:color w:val="FFFFFF"/>
          <w:sz w:val="22"/>
        </w:rPr>
        <w:t>у заданих умовах та навколишньому середовищі.</w:t>
      </w:r>
    </w:p>
    <w:p>
      <w:pPr>
        <w:autoSpaceDN w:val="0"/>
        <w:tabs>
          <w:tab w:pos="2230" w:val="left"/>
        </w:tabs>
        <w:autoSpaceDE w:val="0"/>
        <w:widowControl/>
        <w:spacing w:line="308" w:lineRule="exact" w:before="76" w:after="0"/>
        <w:ind w:left="1110" w:right="0" w:firstLine="0"/>
        <w:jc w:val="left"/>
      </w:pPr>
      <w:r>
        <w:rPr>
          <w:rFonts w:ascii="FontAwesome" w:hAnsi="FontAwesome" w:eastAsia="FontAwesome"/>
          <w:b w:val="0"/>
          <w:i w:val="0"/>
          <w:color w:val="FFFFFF"/>
          <w:sz w:val="28"/>
        </w:rPr>
        <w:t></w:t>
      </w:r>
      <w:r>
        <w:tab/>
      </w:r>
      <w:r>
        <w:rPr>
          <w:rFonts w:ascii="ArialMT" w:hAnsi="ArialMT" w:eastAsia="ArialMT"/>
          <w:b w:val="0"/>
          <w:i w:val="0"/>
          <w:color w:val="FFFFFF"/>
          <w:sz w:val="22"/>
        </w:rPr>
        <w:t>Перевірте робочі параметри.</w:t>
      </w:r>
    </w:p>
    <w:p>
      <w:pPr>
        <w:autoSpaceDN w:val="0"/>
        <w:autoSpaceDE w:val="0"/>
        <w:widowControl/>
        <w:spacing w:line="286" w:lineRule="auto" w:before="102" w:after="0"/>
        <w:ind w:left="2234" w:right="0" w:firstLine="0"/>
        <w:jc w:val="left"/>
      </w:pPr>
      <w:r>
        <w:rPr>
          <w:rFonts w:ascii="ArialMT" w:hAnsi="ArialMT" w:eastAsia="ArialMT"/>
          <w:b w:val="0"/>
          <w:i w:val="0"/>
          <w:color w:val="FFFFFF"/>
          <w:sz w:val="22"/>
        </w:rPr>
        <w:t>Дотримуватись особистої гігієни.</w:t>
      </w:r>
    </w:p>
    <w:p>
      <w:pPr>
        <w:autoSpaceDN w:val="0"/>
        <w:autoSpaceDE w:val="0"/>
        <w:widowControl/>
        <w:spacing w:line="266" w:lineRule="auto" w:before="60" w:after="166"/>
        <w:ind w:left="2234" w:right="864" w:firstLine="0"/>
        <w:jc w:val="left"/>
      </w:pPr>
      <w:r>
        <w:rPr>
          <w:rFonts w:ascii="ArialMT" w:hAnsi="ArialMT" w:eastAsia="ArialMT"/>
          <w:b w:val="0"/>
          <w:i w:val="0"/>
          <w:color w:val="FFFFFF"/>
          <w:sz w:val="22"/>
        </w:rPr>
        <w:t xml:space="preserve">У разі несприятливої події дотримуйтесь документів щодо забезпечення готовності до </w:t>
      </w:r>
      <w:r>
        <w:rPr>
          <w:rFonts w:ascii="ArialMT" w:hAnsi="ArialMT" w:eastAsia="ArialMT"/>
          <w:b w:val="0"/>
          <w:i w:val="0"/>
          <w:color w:val="FFFFFF"/>
          <w:sz w:val="22"/>
        </w:rPr>
        <w:t>надзвичайних ситуацій.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56.0" w:type="dxa"/>
      </w:tblPr>
      <w:tblGrid>
        <w:gridCol w:w="3009"/>
        <w:gridCol w:w="3009"/>
        <w:gridCol w:w="3009"/>
      </w:tblGrid>
      <w:tr>
        <w:trPr>
          <w:trHeight w:hRule="exact" w:val="1954"/>
        </w:trPr>
        <w:tc>
          <w:tcPr>
            <w:tcW w:type="dxa" w:w="10782"/>
            <w:gridSpan w:val="3"/>
            <w:tcBorders/>
            <w:shd w:fill="55585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42" w:after="0"/>
              <w:ind w:left="252" w:right="176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Вищенаведена інформація є лише загальною і може відрізнятися або доповнюватися додатковою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інформацією, яка є типовою для різних класів і категорій небезпеки хімічних речовин або хімічних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сумішей, а також окремою інформацією для них, наявної на робочому місці. Якщо вам потрібна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додаткова інформація, не соромтеся запитати у менеджера. У разі нестандартної ситуації щодо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відповідної системи зберігання/виробництва/транспортування хімічної речовини або суміші, негайно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реагуйте спокійно та врівноважено. Нехтування попереджувальними знаками може призвести до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серйозної аварії.</w:t>
            </w:r>
          </w:p>
        </w:tc>
      </w:tr>
      <w:tr>
        <w:trPr>
          <w:trHeight w:hRule="exact" w:val="432"/>
        </w:trPr>
        <w:tc>
          <w:tcPr>
            <w:tcW w:type="dxa" w:w="80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2" w:after="0"/>
              <w:ind w:left="4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04800" cy="3175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1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2" w:after="0"/>
              <w:ind w:left="31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63550" cy="30225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550" cy="3022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9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60" w:after="0"/>
              <w:ind w:left="0" w:right="10" w:firstLine="0"/>
              <w:jc w:val="right"/>
            </w:pPr>
            <w:r>
              <w:rPr>
                <w:u w:val="single" w:color="1e5d9e"/>
                <w:rFonts w:ascii="ArialMT" w:hAnsi="ArialMT" w:eastAsia="ArialMT"/>
                <w:b w:val="0"/>
                <w:i w:val="0"/>
                <w:color w:val="1E5E9E"/>
                <w:sz w:val="20"/>
              </w:rPr>
              <w:t>https://vubp.cz/infomaterialy-bozp</w:t>
            </w:r>
          </w:p>
        </w:tc>
      </w:tr>
      <w:tr>
        <w:trPr>
          <w:trHeight w:hRule="exact" w:val="228"/>
        </w:trPr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  <w:tc>
          <w:tcPr>
            <w:tcW w:type="dxa" w:w="59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26" w:after="0"/>
              <w:ind w:left="0" w:right="9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6"/>
              </w:rPr>
              <w:t>Редакція 2022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0" w:right="0" w:bottom="116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cha.europa.eu/information-on-chemicals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