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ZAMĚSTNAVATELE A ZAMĚSTNANCE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14" w:right="1296" w:firstLine="0"/>
        <w:jc w:val="left"/>
      </w:pPr>
      <w:r>
        <w:rPr>
          <w:rFonts w:ascii="Arial" w:hAnsi="Arial" w:eastAsia="Arial"/>
          <w:b w:val="0"/>
          <w:i w:val="0"/>
          <w:color w:val="856B7E"/>
          <w:sz w:val="72"/>
        </w:rPr>
        <w:t xml:space="preserve">CO DĚLAT PŘI VZNIKU </w:t>
      </w:r>
      <w:r>
        <w:rPr>
          <w:rFonts w:ascii="Arial" w:hAnsi="Arial" w:eastAsia="Arial"/>
          <w:b w:val="0"/>
          <w:i w:val="0"/>
          <w:color w:val="856B7E"/>
          <w:sz w:val="72"/>
        </w:rPr>
        <w:t>MIMOŘÁDNÉ UDÁLOSTI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1803400</wp:posOffset>
            </wp:positionV>
            <wp:extent cx="6921500" cy="8242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824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266" w:val="left"/>
          <w:tab w:pos="3748" w:val="left"/>
        </w:tabs>
        <w:autoSpaceDE w:val="0"/>
        <w:widowControl/>
        <w:spacing w:line="245" w:lineRule="auto" w:before="204" w:after="0"/>
        <w:ind w:left="3020" w:right="720" w:firstLine="0"/>
        <w:jc w:val="left"/>
      </w:pPr>
      <w:r>
        <w:rPr>
          <w:rFonts w:ascii="Arial" w:hAnsi="Arial" w:eastAsia="Arial"/>
          <w:b/>
          <w:i w:val="0"/>
          <w:color w:val="FFFFFF"/>
          <w:sz w:val="34"/>
        </w:rPr>
        <w:t xml:space="preserve">Při nežádoucí události je třeba postupovat rychle, </w:t>
      </w:r>
      <w:r>
        <w:tab/>
      </w:r>
      <w:r>
        <w:rPr>
          <w:rFonts w:ascii="Arial" w:hAnsi="Arial" w:eastAsia="Arial"/>
          <w:b/>
          <w:i w:val="0"/>
          <w:color w:val="FFFFFF"/>
          <w:sz w:val="34"/>
        </w:rPr>
        <w:t xml:space="preserve">klidně a s rozvahou, obvykle podle dokumentů </w:t>
      </w:r>
      <w:r>
        <w:tab/>
      </w:r>
      <w:r>
        <w:tab/>
      </w:r>
      <w:r>
        <w:rPr>
          <w:rFonts w:ascii="Arial" w:hAnsi="Arial" w:eastAsia="Arial"/>
          <w:b/>
          <w:i w:val="0"/>
          <w:color w:val="FFFFFF"/>
          <w:sz w:val="34"/>
        </w:rPr>
        <w:t>havarijního plánování. Obecně lze uvést:</w:t>
      </w:r>
    </w:p>
    <w:p>
      <w:pPr>
        <w:autoSpaceDN w:val="0"/>
        <w:autoSpaceDE w:val="0"/>
        <w:widowControl/>
        <w:spacing w:line="259" w:lineRule="auto" w:before="110" w:after="0"/>
        <w:ind w:left="3208" w:right="940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Nežádoucí událost je třeba ihned oznámit nadřízenému zaměstnanci a podle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druhu a následků nežádoucí události i dalším složkám integrovaného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záchranného systému (IZS). Tísňové volání – 112, Hasičský záchranný sbor </w:t>
      </w:r>
      <w:r>
        <w:rPr>
          <w:rFonts w:ascii="ArialMT" w:hAnsi="ArialMT" w:eastAsia="ArialMT"/>
          <w:b w:val="0"/>
          <w:i w:val="0"/>
          <w:color w:val="FFFFFF"/>
          <w:sz w:val="22"/>
        </w:rPr>
        <w:t>ČR – 150, Zdravotnická záchranná služba – 155, Policie ČR – 158.</w:t>
      </w:r>
    </w:p>
    <w:p>
      <w:pPr>
        <w:autoSpaceDN w:val="0"/>
        <w:autoSpaceDE w:val="0"/>
        <w:widowControl/>
        <w:spacing w:line="254" w:lineRule="auto" w:before="78" w:after="0"/>
        <w:ind w:left="3208" w:right="864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V případě malého rozsahu nežádoucí události se pokusit tuto událost zlikvidovat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vlastními silami a prostředky bez ohrožení vlastního života. Tento zásah je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podmíněn znalostí nebezpečnosti a vlastností předmětné chemické látky/směsi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a dalších informací týkajících se první pomoci, opatření pro hašení požáru,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opatření v případě náhodného úniku apod. U nebezpečných chemických látek/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směsí je toto uvedeno v bezpečnostním listu. U zásahu se obvykle jedná o izolaci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místa události, nedotýkat se uniklé látky, odstranění iniciačních zdrojů, vypnutí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elektřiny, uzavření plynu, omezení či zamezení expozice plynu či par (spuštění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ventilace, otevření oken), zastavení úniku (pokud je to bez rizika), zachycení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chemické látky/směsi (absorpce, zředění, neutralizace, odsávání), ohraničení </w:t>
      </w:r>
      <w:r>
        <w:rPr>
          <w:rFonts w:ascii="ArialMT" w:hAnsi="ArialMT" w:eastAsia="ArialMT"/>
          <w:b w:val="0"/>
          <w:i w:val="0"/>
          <w:color w:val="FFFFFF"/>
          <w:sz w:val="22"/>
        </w:rPr>
        <w:t>úniku, uhašení přenosnými hasicími přístroji apod.</w:t>
      </w:r>
    </w:p>
    <w:p>
      <w:pPr>
        <w:autoSpaceDN w:val="0"/>
        <w:autoSpaceDE w:val="0"/>
        <w:widowControl/>
        <w:spacing w:line="257" w:lineRule="auto" w:before="48" w:after="0"/>
        <w:ind w:left="3208" w:right="942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V případě velkého rozsahu nežádoucí události po vykonání nouzového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havarijního zásahu (pokud to je třeba a okolnosti to dovolí) opustit přímo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zasaženou oblast (v exteriéru na návětrnou stranu) a událost okamžitě hlásit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stanoveným složkám IZS. V případě přítomnosti dalších osob provést evakuaci,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postižené vynést z ohroženého prostoru mimo dosah nežádoucí události. </w:t>
      </w:r>
    </w:p>
    <w:p>
      <w:pPr>
        <w:autoSpaceDN w:val="0"/>
        <w:autoSpaceDE w:val="0"/>
        <w:widowControl/>
        <w:spacing w:line="266" w:lineRule="auto" w:before="92" w:after="0"/>
        <w:ind w:left="3208" w:right="864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Pokud není zaveden automatický monitoring s varovnou signalizací, spustit </w:t>
      </w:r>
      <w:r>
        <w:rPr>
          <w:rFonts w:ascii="ArialMT" w:hAnsi="ArialMT" w:eastAsia="ArialMT"/>
          <w:b w:val="0"/>
          <w:i w:val="0"/>
          <w:color w:val="FFFFFF"/>
          <w:sz w:val="22"/>
        </w:rPr>
        <w:t>alarm.</w:t>
      </w:r>
    </w:p>
    <w:p>
      <w:pPr>
        <w:autoSpaceDN w:val="0"/>
        <w:autoSpaceDE w:val="0"/>
        <w:widowControl/>
        <w:spacing w:line="254" w:lineRule="auto" w:before="58" w:after="0"/>
        <w:ind w:left="3206" w:right="940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Poskytnout první pomoc zasaženým osobám – přerušit expozici škodlivému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projevu nežádoucí události, zajistit průchodnost dýchacích cest, zastavit krvácení,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podle potřeby provádět resuscitaci až do příjezdu lékaře, provést popř. výplach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očních spojivek, realizovat opatření proti šoku, zamezit dalšímu průniku chemické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látky/směsi do organizmu – sejmutí kontaminovaného oděvu, podle potřeby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provést oplachování zasažené pokožky. Kontrolovat stav postižených. Událost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a zjištěné či předpokládané zasažení osob hlásit zdravotnické záchranné službě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i hasičskému záchrannému sboru. Pozor na možné nebezpečí při zachraňování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osob ze zamořeného prostoru nebo z míst s nedostatkem kyslíku, je nutné mít </w:t>
      </w:r>
      <w:r>
        <w:rPr>
          <w:rFonts w:ascii="ArialMT" w:hAnsi="ArialMT" w:eastAsia="ArialMT"/>
          <w:b w:val="0"/>
          <w:i w:val="0"/>
          <w:color w:val="FFFFFF"/>
          <w:sz w:val="22"/>
        </w:rPr>
        <w:t>patřičné vybavení a být jištěný druhou osobou.</w:t>
      </w:r>
    </w:p>
    <w:p>
      <w:pPr>
        <w:autoSpaceDN w:val="0"/>
        <w:autoSpaceDE w:val="0"/>
        <w:widowControl/>
        <w:spacing w:line="259" w:lineRule="auto" w:before="92" w:after="0"/>
        <w:ind w:left="3204" w:right="944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Zajistit bezpečnost jak zasažených, tak dosud nezasažených osob – podle situace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zůstanou na místě (ukryté na pracovištích), budou vyvedeny či vyneseny (odsun)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 ohroženého prostoru, shromážděny na shromaždištích, odtud dále evakuovány, </w:t>
      </w:r>
      <w:r>
        <w:rPr>
          <w:rFonts w:ascii="ArialMT" w:hAnsi="ArialMT" w:eastAsia="ArialMT"/>
          <w:b w:val="0"/>
          <w:i w:val="0"/>
          <w:color w:val="FFFFFF"/>
          <w:sz w:val="22"/>
        </w:rPr>
        <w:t>případně i umístěny v prostorech k tomu určených a vybavených.</w:t>
      </w:r>
    </w:p>
    <w:p>
      <w:pPr>
        <w:autoSpaceDN w:val="0"/>
        <w:autoSpaceDE w:val="0"/>
        <w:widowControl/>
        <w:spacing w:line="262" w:lineRule="auto" w:before="120" w:after="276"/>
        <w:ind w:left="3208" w:right="940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Podle možností a schopností spolupracovat při zásahu s jednotkami IZS podle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jejich pokynů a dále s vyšetřujícími orgány při vyšetřování příčin a průběhu </w:t>
      </w:r>
      <w:r>
        <w:rPr>
          <w:rFonts w:ascii="ArialMT" w:hAnsi="ArialMT" w:eastAsia="ArialMT"/>
          <w:b w:val="0"/>
          <w:i w:val="0"/>
          <w:color w:val="FFFFFF"/>
          <w:sz w:val="22"/>
        </w:rPr>
        <w:t>nežádoucí události.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09"/>
        <w:gridCol w:w="3009"/>
        <w:gridCol w:w="3009"/>
      </w:tblGrid>
      <w:tr>
        <w:trPr>
          <w:trHeight w:hRule="exact" w:val="33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75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6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22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0" w:right="242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3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2" w:after="0"/>
              <w:ind w:left="0" w:right="1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2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