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3652" w:val="left"/>
        </w:tabs>
        <w:autoSpaceDE w:val="0"/>
        <w:widowControl/>
        <w:spacing w:line="271" w:lineRule="auto" w:before="52" w:after="0"/>
        <w:ind w:left="1708" w:right="1728" w:firstLine="0"/>
        <w:jc w:val="left"/>
      </w:pPr>
      <w:r>
        <w:rPr>
          <w:rFonts w:ascii="Arial" w:hAnsi="Arial" w:eastAsia="Arial"/>
          <w:b w:val="0"/>
          <w:i w:val="0"/>
          <w:color w:val="856B7E"/>
          <w:sz w:val="56"/>
        </w:rPr>
        <w:t xml:space="preserve">ЩО РОБИТИ У </w:t>
      </w:r>
      <w:r>
        <w:br/>
      </w:r>
      <w:r>
        <w:rPr>
          <w:rFonts w:ascii="Arial" w:hAnsi="Arial" w:eastAsia="Arial"/>
          <w:b w:val="0"/>
          <w:i w:val="0"/>
          <w:color w:val="856B7E"/>
          <w:sz w:val="56"/>
        </w:rPr>
        <w:t xml:space="preserve">НАДЗВИЧАЙНІЙ СИТУАЦІЇ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1803400</wp:posOffset>
            </wp:positionV>
            <wp:extent cx="6921500" cy="8242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824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30" w:val="left"/>
          <w:tab w:pos="3596" w:val="left"/>
        </w:tabs>
        <w:autoSpaceDE w:val="0"/>
        <w:widowControl/>
        <w:spacing w:line="278" w:lineRule="auto" w:before="508" w:after="0"/>
        <w:ind w:left="3388" w:right="1008" w:firstLine="0"/>
        <w:jc w:val="left"/>
      </w:pPr>
      <w:r>
        <w:rPr>
          <w:rFonts w:ascii="Arial" w:hAnsi="Arial" w:eastAsia="Arial"/>
          <w:b/>
          <w:i w:val="0"/>
          <w:color w:val="FFFFFF"/>
          <w:sz w:val="34"/>
        </w:rPr>
        <w:t xml:space="preserve">У разі несприятливої події необхідно діяти </w:t>
      </w:r>
      <w:r>
        <w:tab/>
      </w:r>
      <w:r>
        <w:tab/>
      </w:r>
      <w:r>
        <w:rPr>
          <w:rFonts w:ascii="Arial" w:hAnsi="Arial" w:eastAsia="Arial"/>
          <w:b/>
          <w:i w:val="0"/>
          <w:color w:val="FFFFFF"/>
          <w:sz w:val="32"/>
        </w:rPr>
        <w:t xml:space="preserve">швидко, спокійно та виважено, як правило, </w:t>
      </w:r>
      <w:r>
        <w:rPr>
          <w:rFonts w:ascii="Arial" w:hAnsi="Arial" w:eastAsia="Arial"/>
          <w:b/>
          <w:i w:val="0"/>
          <w:color w:val="FFFFFF"/>
          <w:sz w:val="32"/>
        </w:rPr>
        <w:t>згідно з документами аварійного планування.</w:t>
      </w:r>
    </w:p>
    <w:p>
      <w:pPr>
        <w:autoSpaceDN w:val="0"/>
        <w:autoSpaceDE w:val="0"/>
        <w:widowControl/>
        <w:spacing w:line="259" w:lineRule="auto" w:before="178" w:after="0"/>
        <w:ind w:left="3208" w:right="954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Про несприятливу подію необхідно негайно повідомити керівника та,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залежно від несприятливої події, іншим службам комплексної рятувальної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системи. Виклик екстреної допомоги– 112, Пожежно-рятувальна служба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Чехії – 150, Медико-рятувальна служба – 155, Поліція Чехії – 158. </w:t>
      </w:r>
    </w:p>
    <w:p>
      <w:pPr>
        <w:autoSpaceDN w:val="0"/>
        <w:autoSpaceDE w:val="0"/>
        <w:widowControl/>
        <w:spacing w:line="254" w:lineRule="auto" w:before="230" w:after="0"/>
        <w:ind w:left="3208" w:right="94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У разі невеликого масштабу несприятливої  події намагайтеся усунути його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самостійно та не загрожуючи власному життю. Це втручання обумовлено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знаннями про небезпеку та властивостей хімічної речовини/суміші та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іншою інформацією з наданням першої допомоги, протипожежними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заходами тощо. Про небезпечні хімічні речовини/суміши зазначено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у паспорті безпеки. Зазвичай необхідно обмежити місце події, не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торкаючись витікання , вжити заходів для її усунення, вимкнути електрику,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запобігти впливу газу або випаровування, нейтралізувати хімічну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речовину/суміш, локалізувати, згасити переносними вогнегасниками тощо. </w:t>
      </w:r>
    </w:p>
    <w:p>
      <w:pPr>
        <w:autoSpaceDN w:val="0"/>
        <w:autoSpaceDE w:val="0"/>
        <w:widowControl/>
        <w:spacing w:line="266" w:lineRule="auto" w:before="1868" w:after="0"/>
        <w:ind w:left="3220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Якщо сигнал попередження не спрацював автоматично, його потрібно</w:t>
      </w:r>
      <w:r>
        <w:rPr>
          <w:rFonts w:ascii="ArialMT" w:hAnsi="ArialMT" w:eastAsia="ArialMT"/>
          <w:b w:val="0"/>
          <w:i w:val="0"/>
          <w:color w:val="FFFFFF"/>
          <w:sz w:val="22"/>
        </w:rPr>
        <w:t>активувати.</w:t>
      </w:r>
    </w:p>
    <w:p>
      <w:pPr>
        <w:autoSpaceDN w:val="0"/>
        <w:autoSpaceDE w:val="0"/>
        <w:widowControl/>
        <w:spacing w:line="274" w:lineRule="auto" w:before="124" w:after="0"/>
        <w:ind w:left="3208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Надати першу медичну допомогу постраждалим - усунути вплив на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організм факторів, що загрожують здоров'ю або життю потерпілого,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відновити прохідність дихальних шляхів, реанімаційні заходи до прибуття </w:t>
      </w:r>
      <w:r>
        <w:rPr>
          <w:rFonts w:ascii="ArialMT" w:hAnsi="ArialMT" w:eastAsia="ArialMT"/>
          <w:b w:val="0"/>
          <w:i w:val="0"/>
          <w:color w:val="FFFFFF"/>
          <w:sz w:val="22"/>
        </w:rPr>
        <w:t>лікаря, вжити заходів проти шоку, запобігти  подальшому впливу речовини/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суміші на організм, промити уражену шкіру та ін. Перевірити стан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потерпілого. Повідомити про подію у медичну, рятувальну службу та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пожежну охорону. Необхідно пам'ятати про можливу небезпеку та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порятунок людей із забруднених територій або місць з нестачею кисню, при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цьому необхідно мати при собі відповідне захисне спорядження. </w:t>
      </w:r>
    </w:p>
    <w:p>
      <w:pPr>
        <w:autoSpaceDN w:val="0"/>
        <w:autoSpaceDE w:val="0"/>
        <w:widowControl/>
        <w:spacing w:line="259" w:lineRule="auto" w:before="130" w:after="0"/>
        <w:ind w:left="3212" w:right="944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Забезпечити безпеку як постраждалих, так і не постраждалих осіб -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залежно від ситуації, чи залишаться вони на робочих місцях або будуть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евакуйовані у разі небезпеки з небезпечної зони, або розміщені </w:t>
      </w:r>
      <w:r>
        <w:rPr>
          <w:rFonts w:ascii="ArialMT" w:hAnsi="ArialMT" w:eastAsia="ArialMT"/>
          <w:b w:val="0"/>
          <w:i w:val="0"/>
          <w:color w:val="FFFFFF"/>
          <w:sz w:val="22"/>
        </w:rPr>
        <w:t>у спеціально відведених та обладнаних місцях.</w:t>
      </w:r>
    </w:p>
    <w:p>
      <w:pPr>
        <w:autoSpaceDN w:val="0"/>
        <w:autoSpaceDE w:val="0"/>
        <w:widowControl/>
        <w:spacing w:line="262" w:lineRule="auto" w:before="108" w:after="272"/>
        <w:ind w:left="3208" w:right="900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Наскільки це можливо та в змозі співпрацювати з підрозділами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комплексної рятувальної системи відповідно до їх інструкцій, а також зі </w:t>
      </w:r>
      <w:r>
        <w:rPr>
          <w:rFonts w:ascii="ArialMT" w:hAnsi="ArialMT" w:eastAsia="ArialMT"/>
          <w:b w:val="0"/>
          <w:i w:val="0"/>
          <w:color w:val="FFFFFF"/>
          <w:sz w:val="22"/>
        </w:rPr>
        <w:t>слідчими органами у розслідуванні причин несприятливої   події.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9"/>
        <w:gridCol w:w="3009"/>
        <w:gridCol w:w="3009"/>
      </w:tblGrid>
      <w:tr>
        <w:trPr>
          <w:trHeight w:hRule="exact" w:val="33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5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0" w:right="24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1E5E9E"/>
                <w:sz w:val="20"/>
              </w:rPr>
              <w:t xml:space="preserve"> </w:t>
            </w:r>
          </w:p>
        </w:tc>
      </w:tr>
      <w:tr>
        <w:trPr>
          <w:trHeight w:hRule="exact" w:val="23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0" w:right="10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Редакція  2022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2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