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e5e5e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45" w:lineRule="auto" w:before="50" w:after="0"/>
              <w:ind w:left="156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 xml:space="preserve">BEZPEČNOST PRÁCE JE VĚCÍ KAŽDÉHO </w:t>
            </w: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>ZAMĚSTNAVATELE A ZAMĚSTNANCE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566" w:right="1296" w:firstLine="0"/>
        <w:jc w:val="left"/>
      </w:pPr>
      <w:r>
        <w:rPr>
          <w:rFonts w:ascii="Arial" w:hAnsi="Arial" w:eastAsia="Arial"/>
          <w:b w:val="0"/>
          <w:i w:val="0"/>
          <w:color w:val="1A9CA8"/>
          <w:sz w:val="72"/>
        </w:rPr>
        <w:t xml:space="preserve">OSOBNÍ OCHRANNÉ </w:t>
      </w:r>
      <w:r>
        <w:br/>
      </w:r>
      <w:r>
        <w:rPr>
          <w:rFonts w:ascii="Arial" w:hAnsi="Arial" w:eastAsia="Arial"/>
          <w:b w:val="0"/>
          <w:i w:val="0"/>
          <w:color w:val="1A9CA8"/>
          <w:sz w:val="72"/>
        </w:rPr>
        <w:t>PRACOVNÍ PROSTŘEDKY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1828800</wp:posOffset>
            </wp:positionV>
            <wp:extent cx="7569200" cy="82492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82492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46" w:val="left"/>
        </w:tabs>
        <w:autoSpaceDE w:val="0"/>
        <w:widowControl/>
        <w:spacing w:line="245" w:lineRule="auto" w:before="28" w:after="0"/>
        <w:ind w:left="1066" w:right="6336" w:firstLine="0"/>
        <w:jc w:val="left"/>
      </w:pPr>
      <w:r>
        <w:rPr>
          <w:rFonts w:ascii="Arial" w:hAnsi="Arial" w:eastAsia="Arial"/>
          <w:b/>
          <w:i w:val="0"/>
          <w:color w:val="FFFFFF"/>
          <w:sz w:val="34"/>
        </w:rPr>
        <w:t xml:space="preserve">Povinnosti zaměstnavatele </w:t>
      </w:r>
      <w:r>
        <w:br/>
      </w:r>
      <w:r>
        <w:tab/>
      </w:r>
      <w:r>
        <w:rPr>
          <w:rFonts w:ascii="Arial" w:hAnsi="Arial" w:eastAsia="Arial"/>
          <w:b/>
          <w:i w:val="0"/>
          <w:color w:val="FFFFFF"/>
          <w:sz w:val="34"/>
        </w:rPr>
        <w:t>při poskytování OOPP</w:t>
      </w:r>
    </w:p>
    <w:p>
      <w:pPr>
        <w:autoSpaceDN w:val="0"/>
        <w:autoSpaceDE w:val="0"/>
        <w:widowControl/>
        <w:spacing w:line="245" w:lineRule="auto" w:before="74" w:after="12"/>
        <w:ind w:left="600" w:right="5368" w:firstLine="0"/>
        <w:jc w:val="both"/>
      </w:pPr>
      <w:r>
        <w:rPr>
          <w:rFonts w:ascii="Arial" w:hAnsi="Arial" w:eastAsia="Arial"/>
          <w:b/>
          <w:i w:val="0"/>
          <w:color w:val="FFFFFF"/>
          <w:sz w:val="26"/>
        </w:rPr>
        <w:t xml:space="preserve">Podle § 104 zákoníku práce a nařízení vlády </w:t>
      </w:r>
      <w:r>
        <w:br/>
      </w:r>
      <w:r>
        <w:rPr>
          <w:rFonts w:ascii="Arial" w:hAnsi="Arial" w:eastAsia="Arial"/>
          <w:b/>
          <w:i w:val="0"/>
          <w:color w:val="FFFFFF"/>
          <w:sz w:val="26"/>
        </w:rPr>
        <w:t xml:space="preserve">č. 390/2021 Sb., kterým se stanoví rozsah a bližší </w:t>
      </w:r>
      <w:r>
        <w:br/>
      </w:r>
      <w:r>
        <w:rPr>
          <w:rFonts w:ascii="Arial" w:hAnsi="Arial" w:eastAsia="Arial"/>
          <w:b/>
          <w:i w:val="0"/>
          <w:color w:val="FFFFFF"/>
          <w:sz w:val="26"/>
        </w:rPr>
        <w:t xml:space="preserve">podmínky pro poskytování osobních ochranných </w:t>
      </w:r>
      <w:r>
        <w:br/>
      </w:r>
      <w:r>
        <w:rPr>
          <w:rFonts w:ascii="Arial" w:hAnsi="Arial" w:eastAsia="Arial"/>
          <w:b/>
          <w:i w:val="0"/>
          <w:color w:val="FFFFFF"/>
          <w:sz w:val="26"/>
        </w:rPr>
        <w:t xml:space="preserve">pracovních prostředků a mycích, čisticích </w:t>
      </w:r>
      <w:r>
        <w:br/>
      </w:r>
      <w:r>
        <w:rPr>
          <w:rFonts w:ascii="Arial" w:hAnsi="Arial" w:eastAsia="Arial"/>
          <w:b/>
          <w:i w:val="0"/>
          <w:color w:val="FFFFFF"/>
          <w:sz w:val="26"/>
        </w:rPr>
        <w:t xml:space="preserve">a dezinfekčních prostředků je zaměstnavatel </w:t>
      </w:r>
      <w:r>
        <w:br/>
      </w:r>
      <w:r>
        <w:rPr>
          <w:rFonts w:ascii="Arial" w:hAnsi="Arial" w:eastAsia="Arial"/>
          <w:b/>
          <w:i w:val="0"/>
          <w:color w:val="FFFFFF"/>
          <w:sz w:val="26"/>
        </w:rPr>
        <w:t>povinen zejména: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108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0" w:right="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" w:after="0"/>
              <w:ind w:left="200" w:right="37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poskytnout zaměstnancům osobní ochranné pracovní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prostředky (OOPP) v případě, že nelze rizika odstranit nebo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dostatečně omezit technickými prostředky kolektivní ochrany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nebo opatřeními v oblasti organizace práce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18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40" w:after="0"/>
              <w:ind w:left="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>Povinnosti zaměstnanců</w:t>
            </w:r>
          </w:p>
        </w:tc>
      </w:tr>
      <w:tr>
        <w:trPr>
          <w:trHeight w:hRule="exact" w:val="88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" w:after="0"/>
              <w:ind w:left="200" w:right="37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poskytovat zaměstnancům mycí, čisticí a dezinfekční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prostředky (za dezinfekční prostředky se považují též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ochranné masti)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2" w:after="0"/>
              <w:ind w:left="0" w:right="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0" w:after="0"/>
              <w:ind w:left="200" w:right="37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poskytovat zaměstnancům ochranné nápoje na pracovištích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 nevyhovujícími mikroklimatickými podmínkami, v rozsahu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za podmínek stanovených nařízením vlády č. 361/2007 Sb.,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kterým se stanoví podmínky ochrany zdraví při práci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000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6" w:after="0"/>
              <w:ind w:left="96" w:right="11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dbát podle svých možností o svou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bezpečnost a zdraví i o bezpečnost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zdraví osob, kterých se bezprostředně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dotýká jeho jednání, případně opomenutí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při práci</w:t>
            </w:r>
          </w:p>
        </w:tc>
      </w:tr>
      <w:tr>
        <w:trPr>
          <w:trHeight w:hRule="exact" w:val="392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4" w:after="0"/>
              <w:ind w:left="0" w:right="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42" w:after="0"/>
              <w:ind w:left="200" w:right="37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stanovit způsob, podmínky a dobu používání OOPP na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základě četnosti a závažnosti vyskytujících se rizik, charakteru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druhu práce a pracoviště, jejich vlastností, s přihlédnutím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k vlastnostem těchto ochranných prostředků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2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68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používat při práci OOPP a ochranná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zařízení</w:t>
            </w:r>
          </w:p>
        </w:tc>
      </w:tr>
      <w:tr>
        <w:trPr>
          <w:trHeight w:hRule="exact" w:val="19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2" w:after="0"/>
              <w:ind w:left="0" w:right="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8" w:after="0"/>
              <w:ind w:left="96" w:right="11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seznámit se s návodem na používání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údržbu přidělených OOPP a dodržovat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pravidla, která jsou v něm uvedena</w:t>
            </w:r>
          </w:p>
        </w:tc>
      </w:tr>
      <w:tr>
        <w:trPr>
          <w:trHeight w:hRule="exact" w:val="662"/>
        </w:trPr>
        <w:tc>
          <w:tcPr>
            <w:tcW w:type="dxa" w:w="1805"/>
            <w:vMerge/>
            <w:tcBorders/>
          </w:tcPr>
          <w:p/>
        </w:tc>
        <w:tc>
          <w:tcPr>
            <w:tcW w:type="dxa" w:w="6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4" w:after="0"/>
              <w:ind w:left="200" w:right="37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zpracovat vlastní seznam (na základě zjištěných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vyhodnocených rizik a konkrétních podmínek práce) pro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poskytování OOPP a mycích, čisticích a dezinfekčních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prostředků zaměstnancům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92" w:after="0"/>
              <w:ind w:left="0" w:right="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8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6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provádět drobnou údržbu přidělených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OOPP</w:t>
            </w:r>
          </w:p>
        </w:tc>
      </w:tr>
      <w:tr>
        <w:trPr>
          <w:trHeight w:hRule="exact" w:val="125"/>
        </w:trPr>
        <w:tc>
          <w:tcPr>
            <w:tcW w:type="dxa" w:w="1805"/>
            <w:vMerge/>
            <w:tcBorders/>
          </w:tcPr>
          <w:p/>
        </w:tc>
        <w:tc>
          <w:tcPr>
            <w:tcW w:type="dxa" w:w="6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24" w:after="0"/>
              <w:ind w:left="20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poskytovat OOPP bezplatně; jejich poskytování nesmí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zaměstnavatel nahrazovat finančním plněním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75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0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používat OOPP pouze k účelu, ke kterému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jsou určeny</w:t>
            </w:r>
          </w:p>
        </w:tc>
      </w:tr>
      <w:tr>
        <w:trPr>
          <w:trHeight w:hRule="exact" w:val="96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0" w:right="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6" w:after="0"/>
              <w:ind w:left="200" w:right="37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poskytovat OOPP přiměřeně všem osobám, které se s jeho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vědomím zdržují na jeho pracovišti; týká se i exkurzí, návštěv,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kontrolních orgánů apod.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8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784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nakládat s přidělenými OOPP šetrně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a hospodárně</w:t>
            </w:r>
          </w:p>
        </w:tc>
      </w:tr>
      <w:tr>
        <w:trPr>
          <w:trHeight w:hRule="exact" w:val="728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34" w:after="0"/>
              <w:ind w:left="200" w:right="37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poskytovat pouze OOPP, které chrání zaměstnance před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konkrétním rizikem, neohrožují jeho zdraví, nebrání při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výkonu práce a splňují požadavky stanovené nařízením (EU)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2016/425 o osobních ochranných prostředcích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94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32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4"/>
              </w:rPr>
              <w:t xml:space="preserve">OOPP musí </w:t>
            </w:r>
          </w:p>
        </w:tc>
      </w:tr>
      <w:tr>
        <w:trPr>
          <w:trHeight w:hRule="exact" w:val="412"/>
        </w:trPr>
        <w:tc>
          <w:tcPr>
            <w:tcW w:type="dxa" w:w="1805"/>
            <w:vMerge/>
            <w:tcBorders/>
          </w:tcPr>
          <w:p/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být po dobu používání účinné proti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vyskytujícím se rizikům a jejich používání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nesmí představovat další riziko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odpovídat podmínkám na pracovišti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být přizpůsobeny fyzickým předpokladům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jednotlivých zaměstnanců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respektovat ergonomické požadavky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a zdravotní stav zaměstnanců</w:t>
            </w:r>
          </w:p>
        </w:tc>
      </w:tr>
      <w:tr>
        <w:trPr>
          <w:trHeight w:hRule="exact" w:val="64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12" w:after="0"/>
              <w:ind w:left="0" w:right="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6" w:after="0"/>
              <w:ind w:left="20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seznámit zaměstnance s používáním OOPP a kontrolovat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jejich používání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40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6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udržovat OOPP v použitelném stavu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2"/>
        </w:trPr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0" w:right="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8" w:after="0"/>
              <w:ind w:left="0" w:right="6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988"/>
        </w:trPr>
        <w:tc>
          <w:tcPr>
            <w:tcW w:type="dxa" w:w="1805"/>
            <w:vMerge/>
            <w:tcBorders/>
          </w:tcPr>
          <w:p/>
        </w:tc>
        <w:tc>
          <w:tcPr>
            <w:tcW w:type="dxa" w:w="6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" w:after="0"/>
              <w:ind w:left="200" w:right="37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připustit použití OOPP pro více zaměstnanců je možné pouze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v případě, že byla učiněna opatření, která zamezí ohrožení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přenosnými chorobami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805"/>
            <w:vMerge/>
            <w:tcBorders/>
          </w:tcPr>
          <w:p/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04800" cy="304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19" cy="30352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30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82" w:after="0"/>
              <w:ind w:left="996" w:right="0" w:firstLine="0"/>
              <w:jc w:val="left"/>
            </w:pPr>
            <w:r>
              <w:rPr>
                <w:u w:val="single" w:color="265a9b"/>
                <w:rFonts w:ascii="ArialMT" w:hAnsi="ArialMT" w:eastAsia="ArialMT"/>
                <w:b w:val="0"/>
                <w:i w:val="0"/>
                <w:color w:val="275B9B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10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0" w:right="1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Vydáno 2021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114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7240"/>
        </w:trPr>
        <w:tc>
          <w:tcPr>
            <w:tcW w:type="dxa" w:w="1190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64" w:val="left"/>
                <w:tab w:pos="1960" w:val="left"/>
                <w:tab w:pos="8366" w:val="left"/>
              </w:tabs>
              <w:autoSpaceDE w:val="0"/>
              <w:widowControl/>
              <w:spacing w:line="245" w:lineRule="auto" w:before="50" w:after="0"/>
              <w:ind w:left="566" w:right="144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 xml:space="preserve">BEZPEČNOST PRÁCE JE VĚCÍ KAŽDÉHO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5F4F4"/>
                <w:sz w:val="44"/>
              </w:rPr>
              <w:t xml:space="preserve">ZAMĚSTNAVATELE A ZAMĚSTNANCE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A9CA8"/>
                <w:sz w:val="72"/>
              </w:rPr>
              <w:t xml:space="preserve">ZNAČENÍ OCHRANNÝCH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A9CA8"/>
                <w:sz w:val="72"/>
              </w:rPr>
              <w:t xml:space="preserve">PRACOVNÍCH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 xml:space="preserve">K OOPP musí být dodán 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 xml:space="preserve">návod k použití v českém </w:t>
            </w:r>
          </w:p>
          <w:p>
            <w:pPr>
              <w:autoSpaceDN w:val="0"/>
              <w:tabs>
                <w:tab w:pos="8026" w:val="left"/>
                <w:tab w:pos="8366" w:val="left"/>
              </w:tabs>
              <w:autoSpaceDE w:val="0"/>
              <w:widowControl/>
              <w:spacing w:line="514" w:lineRule="exact" w:before="0" w:after="0"/>
              <w:ind w:left="566" w:right="144" w:firstLine="0"/>
              <w:jc w:val="left"/>
            </w:pP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 xml:space="preserve">jazyce a musí obsahovat </w:t>
            </w:r>
            <w:r>
              <w:rPr>
                <w:rFonts w:ascii="Arial" w:hAnsi="Arial" w:eastAsia="Arial"/>
                <w:b w:val="0"/>
                <w:i w:val="0"/>
                <w:color w:val="1A9CA8"/>
                <w:sz w:val="72"/>
              </w:rPr>
              <w:t>PROSTŘEDKŮ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informace o: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používání, skladování, čištění, </w:t>
            </w:r>
          </w:p>
          <w:p>
            <w:pPr>
              <w:autoSpaceDN w:val="0"/>
              <w:tabs>
                <w:tab w:pos="8366" w:val="left"/>
              </w:tabs>
              <w:autoSpaceDE w:val="0"/>
              <w:widowControl/>
              <w:spacing w:line="266" w:lineRule="auto" w:before="0" w:after="0"/>
              <w:ind w:left="3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Výběr symbolů používaných ke značení ochranných oděvů: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údržbě, přezkušování a dezinfekci</w:t>
            </w:r>
          </w:p>
          <w:p>
            <w:pPr>
              <w:autoSpaceDN w:val="0"/>
              <w:tabs>
                <w:tab w:pos="8366" w:val="left"/>
              </w:tabs>
              <w:autoSpaceDE w:val="0"/>
              <w:widowControl/>
              <w:spacing w:line="200" w:lineRule="exact" w:before="0" w:after="0"/>
              <w:ind w:left="8036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dosahované účinnosti osobního </w:t>
            </w:r>
          </w:p>
          <w:p>
            <w:pPr>
              <w:autoSpaceDN w:val="0"/>
              <w:tabs>
                <w:tab w:pos="3868" w:val="left"/>
                <w:tab w:pos="8366" w:val="left"/>
              </w:tabs>
              <w:autoSpaceDE w:val="0"/>
              <w:widowControl/>
              <w:spacing w:line="262" w:lineRule="auto" w:before="0" w:after="0"/>
              <w:ind w:left="4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Symbol</w:t>
            </w: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 xml:space="preserve">K použití na ochranu proti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>Symbol</w:t>
            </w:r>
            <w:r>
              <w:rPr>
                <w:rFonts w:ascii="Arial" w:hAnsi="Arial" w:eastAsia="Arial"/>
                <w:b/>
                <w:i w:val="0"/>
                <w:color w:val="000000"/>
                <w:sz w:val="19"/>
              </w:rPr>
              <w:t xml:space="preserve">K použití na ochranu proti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ochranného prostředku</w:t>
            </w:r>
          </w:p>
          <w:p>
            <w:pPr>
              <w:autoSpaceDN w:val="0"/>
              <w:tabs>
                <w:tab w:pos="8366" w:val="left"/>
              </w:tabs>
              <w:autoSpaceDE w:val="0"/>
              <w:widowControl/>
              <w:spacing w:line="200" w:lineRule="exact" w:before="0" w:after="0"/>
              <w:ind w:left="8038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vhodném příslušenství OOPP </w:t>
            </w:r>
          </w:p>
          <w:p>
            <w:pPr>
              <w:autoSpaceDN w:val="0"/>
              <w:tabs>
                <w:tab w:pos="4702" w:val="left"/>
                <w:tab w:pos="8026" w:val="left"/>
                <w:tab w:pos="8366" w:val="left"/>
              </w:tabs>
              <w:autoSpaceDE w:val="0"/>
              <w:widowControl/>
              <w:spacing w:line="280" w:lineRule="exact" w:before="0" w:after="0"/>
              <w:ind w:left="127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pohyblivým strojním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pořezu řetězovou pilou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o náhradních dílech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součástem</w:t>
            </w:r>
            <w:r>
              <w:tab/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třídách ochrany odpovídajících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různým úrovním nebezpečí a z toho </w:t>
            </w:r>
          </w:p>
          <w:p>
            <w:pPr>
              <w:autoSpaceDN w:val="0"/>
              <w:tabs>
                <w:tab w:pos="4688" w:val="left"/>
                <w:tab w:pos="8366" w:val="left"/>
              </w:tabs>
              <w:autoSpaceDE w:val="0"/>
              <w:widowControl/>
              <w:spacing w:line="338" w:lineRule="auto" w:before="0" w:after="0"/>
              <w:ind w:left="1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chladu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teplu a plameni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vyplývajících omezení používání</w:t>
            </w:r>
          </w:p>
          <w:p>
            <w:pPr>
              <w:autoSpaceDN w:val="0"/>
              <w:tabs>
                <w:tab w:pos="8366" w:val="left"/>
                <w:tab w:pos="9120" w:val="left"/>
                <w:tab w:pos="10694" w:val="left"/>
              </w:tabs>
              <w:autoSpaceDE w:val="0"/>
              <w:widowControl/>
              <w:spacing w:line="200" w:lineRule="exact" w:before="0" w:after="0"/>
              <w:ind w:left="8050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době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použitelnosti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osobního </w:t>
            </w:r>
          </w:p>
          <w:p>
            <w:pPr>
              <w:autoSpaceDN w:val="0"/>
              <w:tabs>
                <w:tab w:pos="4688" w:val="left"/>
                <w:tab w:pos="8366" w:val="left"/>
              </w:tabs>
              <w:autoSpaceDE w:val="0"/>
              <w:widowControl/>
              <w:spacing w:line="430" w:lineRule="auto" w:before="0" w:after="0"/>
              <w:ind w:left="1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nepříznivému počasí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řezným a bodným ranám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ochranného prostředku nebo jeho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0" w:right="20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určitých součástí</w:t>
            </w:r>
          </w:p>
          <w:p>
            <w:pPr>
              <w:autoSpaceDN w:val="0"/>
              <w:tabs>
                <w:tab w:pos="8366" w:val="left"/>
              </w:tabs>
              <w:autoSpaceDE w:val="0"/>
              <w:widowControl/>
              <w:spacing w:line="200" w:lineRule="exact" w:before="0" w:after="0"/>
              <w:ind w:left="8040" w:right="0" w:firstLine="0"/>
              <w:jc w:val="lef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způsobu balení vhodném pro přepravu</w:t>
            </w:r>
          </w:p>
          <w:p>
            <w:pPr>
              <w:autoSpaceDN w:val="0"/>
              <w:tabs>
                <w:tab w:pos="4688" w:val="left"/>
                <w:tab w:pos="8050" w:val="left"/>
                <w:tab w:pos="8366" w:val="left"/>
              </w:tabs>
              <w:autoSpaceDE w:val="0"/>
              <w:widowControl/>
              <w:spacing w:line="258" w:lineRule="exact" w:before="0" w:after="0"/>
              <w:ind w:left="1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chemikáliím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kontaminaci radioaktivními </w:t>
            </w:r>
            <w:r>
              <w:tab/>
            </w: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významu všech označení umístěných </w:t>
            </w:r>
          </w:p>
          <w:p>
            <w:pPr>
              <w:autoSpaceDN w:val="0"/>
              <w:tabs>
                <w:tab w:pos="8366" w:val="left"/>
              </w:tabs>
              <w:autoSpaceDE w:val="0"/>
              <w:widowControl/>
              <w:spacing w:line="326" w:lineRule="auto" w:before="0" w:after="0"/>
              <w:ind w:left="46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částicemi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na osobním ochranném prostředku</w:t>
            </w:r>
          </w:p>
        </w:tc>
      </w:tr>
      <w:tr>
        <w:trPr>
          <w:trHeight w:hRule="exact" w:val="600"/>
        </w:trPr>
        <w:tc>
          <w:tcPr>
            <w:tcW w:type="dxa" w:w="3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78" w:after="0"/>
              <w:ind w:left="0" w:right="8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statické elektřině</w:t>
            </w:r>
          </w:p>
        </w:tc>
        <w:tc>
          <w:tcPr>
            <w:tcW w:type="dxa" w:w="4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6" w:after="0"/>
              <w:ind w:left="1222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nebezpečným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mikroorganizmům</w:t>
            </w:r>
          </w:p>
        </w:tc>
        <w:tc>
          <w:tcPr>
            <w:tcW w:type="dxa" w:w="6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4" w:after="0"/>
              <w:ind w:left="0" w:right="7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6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6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 xml:space="preserve">Jak má být OOPP dále </w:t>
            </w: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označen</w:t>
            </w:r>
          </w:p>
        </w:tc>
      </w:tr>
      <w:tr>
        <w:trPr>
          <w:trHeight w:hRule="exact" w:val="280"/>
        </w:trPr>
        <w:tc>
          <w:tcPr>
            <w:tcW w:type="dxa" w:w="767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4"/>
              </w:rPr>
              <w:t>Výběr symbolů používaných ke značení ochranných rukavic: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6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7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názvem a identifikační značkou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výrobce (dovozce)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typem výrobku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číslem normy a příslušnými symboly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ochrany a stupni (třídami) ochrany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(jsou-li předepsány)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datem výroby a také dobou životnosti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(pokud je to předepsáno)</w:t>
            </w:r>
          </w:p>
        </w:tc>
      </w:tr>
      <w:tr>
        <w:trPr>
          <w:trHeight w:hRule="exact" w:val="340"/>
        </w:trPr>
        <w:tc>
          <w:tcPr>
            <w:tcW w:type="dxa" w:w="3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4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Symbol  K použití na ochranu proti</w:t>
            </w:r>
          </w:p>
        </w:tc>
        <w:tc>
          <w:tcPr>
            <w:tcW w:type="dxa" w:w="4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3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Symbol  K použití na ochranu proti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mechanickému nebezpečí</w:t>
            </w:r>
          </w:p>
        </w:tc>
        <w:tc>
          <w:tcPr>
            <w:tcW w:type="dxa" w:w="41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24" w:after="0"/>
              <w:ind w:left="0" w:right="2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chladu</w:t>
            </w:r>
          </w:p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7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7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40"/>
        </w:trPr>
        <w:tc>
          <w:tcPr>
            <w:tcW w:type="dxa" w:w="3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60" w:after="0"/>
              <w:ind w:left="0" w:right="8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říznutí a bodnutí</w:t>
            </w:r>
          </w:p>
        </w:tc>
        <w:tc>
          <w:tcPr>
            <w:tcW w:type="dxa" w:w="4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36" w:after="0"/>
              <w:ind w:left="0" w:right="19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teplu a ohni</w:t>
            </w:r>
          </w:p>
        </w:tc>
        <w:tc>
          <w:tcPr>
            <w:tcW w:type="dxa" w:w="6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8" w:after="0"/>
              <w:ind w:left="0" w:right="7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3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74" w:after="0"/>
              <w:ind w:left="0" w:right="6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ionizačnímu záření</w:t>
            </w:r>
          </w:p>
        </w:tc>
        <w:tc>
          <w:tcPr>
            <w:tcW w:type="dxa" w:w="41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44" w:after="0"/>
              <w:ind w:left="122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kontaminaci radioaktivními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částicemi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6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>Pracovní úrazy a OOPP</w:t>
            </w:r>
          </w:p>
        </w:tc>
      </w:tr>
      <w:tr>
        <w:trPr>
          <w:trHeight w:hRule="exact" w:val="460"/>
        </w:trPr>
        <w:tc>
          <w:tcPr>
            <w:tcW w:type="dxa" w:w="3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7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pořezání řetězovou pilou</w:t>
            </w:r>
          </w:p>
        </w:tc>
        <w:tc>
          <w:tcPr>
            <w:tcW w:type="dxa" w:w="4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34" w:after="0"/>
              <w:ind w:left="0" w:right="19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chemikáliím</w:t>
            </w:r>
          </w:p>
        </w:tc>
        <w:tc>
          <w:tcPr>
            <w:tcW w:type="dxa" w:w="6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00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6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86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Každoročně vznikají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tisíce pracovních úrazů, </w:t>
            </w: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kde je příčinou:</w:t>
            </w:r>
          </w:p>
        </w:tc>
      </w:tr>
      <w:tr>
        <w:trPr>
          <w:trHeight w:hRule="exact" w:val="380"/>
        </w:trPr>
        <w:tc>
          <w:tcPr>
            <w:tcW w:type="dxa" w:w="3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52" w:after="0"/>
              <w:ind w:left="1264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teplu a nebezpečí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požáru ─ pro hasiče</w:t>
            </w:r>
          </w:p>
        </w:tc>
        <w:tc>
          <w:tcPr>
            <w:tcW w:type="dxa" w:w="41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4" w:after="0"/>
              <w:ind w:left="0" w:right="8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zemědělským pesticidům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610"/>
            <w:gridSpan w:val="2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6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10" w:val="left"/>
                <w:tab w:pos="2866" w:val="left"/>
              </w:tabs>
              <w:autoSpaceDE w:val="0"/>
              <w:widowControl/>
              <w:spacing w:line="257" w:lineRule="auto" w:before="18" w:after="0"/>
              <w:ind w:left="8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nepoužívání či nesprávné používání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OOPP nebo jejich chybné seřízení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 přizpůsobení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používání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poškozených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nebo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nevhodně zvolených OOPP</w:t>
            </w:r>
          </w:p>
        </w:tc>
      </w:tr>
      <w:tr>
        <w:trPr>
          <w:trHeight w:hRule="exact" w:val="720"/>
        </w:trPr>
        <w:tc>
          <w:tcPr>
            <w:tcW w:type="dxa" w:w="3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28" w:after="0"/>
              <w:ind w:left="0" w:right="1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informace</w:t>
            </w:r>
          </w:p>
        </w:tc>
        <w:tc>
          <w:tcPr>
            <w:tcW w:type="dxa" w:w="4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90" w:after="0"/>
              <w:ind w:left="1208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nebezpečným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>mikroorganizmům</w:t>
            </w:r>
          </w:p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20" w:after="0"/>
              <w:ind w:left="0" w:right="8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284"/>
        </w:trPr>
        <w:tc>
          <w:tcPr>
            <w:tcW w:type="dxa" w:w="767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34" w:after="0"/>
              <w:ind w:left="382" w:right="33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Většina symbolů je doplněna čísly, která označují třídy ochrany pro dílčí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 xml:space="preserve">ochranné vlastnosti, symboly musejí být umístěny na výrobku a jejich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1"/>
              </w:rPr>
              <w:t>význam musí být vysvětlen v návodu.</w:t>
            </w:r>
          </w:p>
        </w:tc>
        <w:tc>
          <w:tcPr>
            <w:tcW w:type="dxa" w:w="6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30" w:after="0"/>
              <w:ind w:left="0" w:right="7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6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" w:after="0"/>
              <w:ind w:left="110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Doporučené podklady </w:t>
            </w: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 xml:space="preserve">ke zpracování vlastního </w:t>
            </w: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seznamu OOPP</w:t>
            </w:r>
          </w:p>
        </w:tc>
      </w:tr>
      <w:tr>
        <w:trPr>
          <w:trHeight w:hRule="exact" w:val="306"/>
        </w:trPr>
        <w:tc>
          <w:tcPr>
            <w:tcW w:type="dxa" w:w="767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8"/>
              </w:rPr>
              <w:t xml:space="preserve">Jak poznáte, že OOPP splňuje požadavky předpisů 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17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36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9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nařízení vlády č. 390/2021 Sb., kterým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se stanoví rozsah a bližší podmínky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poskytování OOPP, mycích, čisticích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a dezinfekčních prostředků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podrobné informace o zbytkových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rizicích vyskytujících se na příslušných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pracovištích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návody na používání k jednotlivým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OOPP</w:t>
            </w:r>
          </w:p>
        </w:tc>
      </w:tr>
      <w:tr>
        <w:trPr>
          <w:trHeight w:hRule="exact" w:val="480"/>
        </w:trPr>
        <w:tc>
          <w:tcPr>
            <w:tcW w:type="dxa" w:w="7678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26" w:after="0"/>
              <w:ind w:left="288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Pro každý nový OOPP vydává výrobce EU prohlášení o shodě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a současně na výrobek umísťuje označení CE. Toto označení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je grafickým vyjádřením EU prohlášení o shodě a znamená, že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výrobek splňuje základní požadavky nařízení (EU) 2016/425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o OOPP. Pro OOPP, které jsou určeny k ochraně před vysokými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riziky (ochrana proti pádu, ochrana dýchacích orgánů, ochrana proti vysokým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teplotám, chemikáliím apod.), je označení CE doplněno identifikačním číslem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oznámeného subjektu, který provádí pravidelné kontroly vyráběných OOPP.</w:t>
            </w:r>
          </w:p>
        </w:tc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82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4" w:after="0"/>
              <w:ind w:left="0" w:right="7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5415"/>
            <w:gridSpan w:val="3"/>
            <w:vMerge/>
            <w:tcBorders/>
          </w:tcPr>
          <w:p/>
        </w:tc>
        <w:tc>
          <w:tcPr>
            <w:tcW w:type="dxa" w:w="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72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5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2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19" cy="30225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3022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0" w:right="410" w:firstLine="0"/>
              <w:jc w:val="right"/>
            </w:pPr>
            <w:r>
              <w:rPr>
                <w:u w:val="single" w:color="265a9b"/>
                <w:rFonts w:ascii="ArialMT" w:hAnsi="ArialMT" w:eastAsia="ArialMT"/>
                <w:b w:val="0"/>
                <w:i w:val="0"/>
                <w:color w:val="275B9B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18"/>
        </w:trPr>
        <w:tc>
          <w:tcPr>
            <w:tcW w:type="dxa" w:w="1805"/>
            <w:vMerge/>
            <w:tcBorders/>
          </w:tcPr>
          <w:p/>
        </w:tc>
        <w:tc>
          <w:tcPr>
            <w:tcW w:type="dxa" w:w="1805"/>
            <w:vMerge/>
            <w:tcBorders/>
          </w:tcPr>
          <w:p/>
        </w:tc>
        <w:tc>
          <w:tcPr>
            <w:tcW w:type="dxa" w:w="84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0" w:right="1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Vydáno 2021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</wp:posOffset>
            </wp:positionH>
            <wp:positionV relativeFrom="page">
              <wp:posOffset>2950210</wp:posOffset>
            </wp:positionV>
            <wp:extent cx="439419" cy="203270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419" cy="203270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</wp:posOffset>
            </wp:positionH>
            <wp:positionV relativeFrom="page">
              <wp:posOffset>8844280</wp:posOffset>
            </wp:positionV>
            <wp:extent cx="803910" cy="57552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3910" cy="57552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</wp:posOffset>
            </wp:positionH>
            <wp:positionV relativeFrom="page">
              <wp:posOffset>5504180</wp:posOffset>
            </wp:positionV>
            <wp:extent cx="356870" cy="3568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870" cy="3568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</wp:posOffset>
            </wp:positionH>
            <wp:positionV relativeFrom="page">
              <wp:posOffset>6297930</wp:posOffset>
            </wp:positionV>
            <wp:extent cx="356870" cy="35687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870" cy="35687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</wp:posOffset>
            </wp:positionH>
            <wp:positionV relativeFrom="page">
              <wp:posOffset>7114540</wp:posOffset>
            </wp:positionV>
            <wp:extent cx="359409" cy="35940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409" cy="35940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</wp:posOffset>
            </wp:positionH>
            <wp:positionV relativeFrom="page">
              <wp:posOffset>7503159</wp:posOffset>
            </wp:positionV>
            <wp:extent cx="356870" cy="347948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870" cy="34794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2476500</wp:posOffset>
            </wp:positionH>
            <wp:positionV relativeFrom="page">
              <wp:posOffset>7063740</wp:posOffset>
            </wp:positionV>
            <wp:extent cx="374650" cy="38378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650" cy="38378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</wp:posOffset>
            </wp:positionH>
            <wp:positionV relativeFrom="page">
              <wp:posOffset>6706870</wp:posOffset>
            </wp:positionV>
            <wp:extent cx="381000" cy="36285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6285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2454910</wp:posOffset>
            </wp:positionH>
            <wp:positionV relativeFrom="page">
              <wp:posOffset>3788410</wp:posOffset>
            </wp:positionV>
            <wp:extent cx="356869" cy="36002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869" cy="3600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5892800</wp:posOffset>
            </wp:positionV>
            <wp:extent cx="356870" cy="3600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870" cy="360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2465070</wp:posOffset>
            </wp:positionH>
            <wp:positionV relativeFrom="page">
              <wp:posOffset>3411220</wp:posOffset>
            </wp:positionV>
            <wp:extent cx="359410" cy="3688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688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5883910</wp:posOffset>
            </wp:positionV>
            <wp:extent cx="359410" cy="362535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6253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2466340</wp:posOffset>
            </wp:positionH>
            <wp:positionV relativeFrom="page">
              <wp:posOffset>4185920</wp:posOffset>
            </wp:positionV>
            <wp:extent cx="358140" cy="35814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358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2456180</wp:posOffset>
            </wp:positionH>
            <wp:positionV relativeFrom="page">
              <wp:posOffset>6289040</wp:posOffset>
            </wp:positionV>
            <wp:extent cx="403859" cy="76354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859" cy="76354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2484120</wp:posOffset>
            </wp:positionH>
            <wp:positionV relativeFrom="page">
              <wp:posOffset>7496809</wp:posOffset>
            </wp:positionV>
            <wp:extent cx="358140" cy="35814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358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2484120</wp:posOffset>
            </wp:positionH>
            <wp:positionV relativeFrom="page">
              <wp:posOffset>5499100</wp:posOffset>
            </wp:positionV>
            <wp:extent cx="358140" cy="35814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140" cy="3581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2439670</wp:posOffset>
            </wp:positionH>
            <wp:positionV relativeFrom="page">
              <wp:posOffset>2997200</wp:posOffset>
            </wp:positionV>
            <wp:extent cx="388619" cy="370544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619" cy="37054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2456180</wp:posOffset>
            </wp:positionH>
            <wp:positionV relativeFrom="page">
              <wp:posOffset>4572000</wp:posOffset>
            </wp:positionV>
            <wp:extent cx="386080" cy="3860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080" cy="3860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1193800</wp:posOffset>
            </wp:positionV>
            <wp:extent cx="7569200" cy="8884754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8884754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0" w:right="0" w:bottom="11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