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6"/>
      </w:tblGrid>
      <w:tr>
        <w:trPr>
          <w:trHeight w:hRule="exact" w:val="1210"/>
        </w:trPr>
        <w:tc>
          <w:tcPr>
            <w:tcW w:type="dxa" w:w="11906"/>
            <w:tcBorders/>
            <w:shd w:fill="55585a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36" w:val="left"/>
              </w:tabs>
              <w:autoSpaceDE w:val="0"/>
              <w:widowControl/>
              <w:spacing w:line="274" w:lineRule="auto" w:before="50" w:after="0"/>
              <w:ind w:left="1790" w:right="1584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EFEFEF"/>
                <w:sz w:val="44"/>
              </w:rPr>
              <w:t xml:space="preserve">БЕЗПЕКА ПРАЦІ – СПРАВА КОЖНОГО </w:t>
            </w:r>
            <w:r>
              <w:rPr>
                <w:rFonts w:ascii="Arial,Bold" w:hAnsi="Arial,Bold" w:eastAsia="Arial,Bold"/>
                <w:b/>
                <w:i w:val="0"/>
                <w:color w:val="EFEFEF"/>
                <w:sz w:val="44"/>
              </w:rPr>
              <w:t>РОБОТОДАВЦЯ ТА ПРАЦІВНИКА</w:t>
            </w:r>
          </w:p>
        </w:tc>
      </w:tr>
    </w:tbl>
    <w:p>
      <w:pPr>
        <w:autoSpaceDN w:val="0"/>
        <w:tabs>
          <w:tab w:pos="2020" w:val="left"/>
          <w:tab w:pos="2338" w:val="left"/>
        </w:tabs>
        <w:autoSpaceDE w:val="0"/>
        <w:widowControl/>
        <w:spacing w:line="264" w:lineRule="auto" w:before="98" w:after="0"/>
        <w:ind w:left="672" w:right="2160" w:firstLine="0"/>
        <w:jc w:val="left"/>
      </w:pPr>
      <w:r>
        <w:tab/>
      </w:r>
      <w:r>
        <w:tab/>
      </w:r>
      <w:r>
        <w:rPr>
          <w:rFonts w:ascii="Arial" w:hAnsi="Arial" w:eastAsia="Arial"/>
          <w:b w:val="0"/>
          <w:i w:val="0"/>
          <w:color w:val="6170B1"/>
          <w:sz w:val="56"/>
        </w:rPr>
        <w:t xml:space="preserve">ПОПЕРЕДЖЕННЯ </w:t>
      </w:r>
      <w:r>
        <w:br/>
      </w:r>
      <w:r>
        <w:rPr>
          <w:rFonts w:ascii="Arial" w:hAnsi="Arial" w:eastAsia="Arial"/>
          <w:b w:val="0"/>
          <w:i w:val="0"/>
          <w:color w:val="6170B1"/>
          <w:sz w:val="56"/>
        </w:rPr>
        <w:t xml:space="preserve">НЕЩАСНИХ ВИПАДКІВ ПРИ </w:t>
      </w:r>
      <w:r>
        <w:tab/>
      </w:r>
      <w:r>
        <w:rPr>
          <w:rFonts w:ascii="Arial" w:hAnsi="Arial" w:eastAsia="Arial"/>
          <w:b w:val="0"/>
          <w:i w:val="0"/>
          <w:color w:val="6170B1"/>
          <w:sz w:val="56"/>
        </w:rPr>
        <w:t xml:space="preserve">РОБОТІ НА ВИСОТІ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1816100</wp:posOffset>
            </wp:positionV>
            <wp:extent cx="2552700" cy="54610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5461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2857500</wp:posOffset>
            </wp:positionH>
            <wp:positionV relativeFrom="page">
              <wp:posOffset>800100</wp:posOffset>
            </wp:positionV>
            <wp:extent cx="4711700" cy="6485741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648574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0" w:lineRule="auto" w:before="94" w:after="42"/>
        <w:ind w:left="0" w:right="2096" w:firstLine="0"/>
        <w:jc w:val="right"/>
      </w:pPr>
      <w:r>
        <w:rPr>
          <w:rFonts w:ascii="Arial,Bold" w:hAnsi="Arial,Bold" w:eastAsia="Arial,Bold"/>
          <w:b/>
          <w:i w:val="0"/>
          <w:color w:val="FFFFFF"/>
          <w:sz w:val="34"/>
        </w:rPr>
        <w:t>Робота на висоті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18.0" w:type="dxa"/>
      </w:tblPr>
      <w:tblGrid>
        <w:gridCol w:w="3009"/>
        <w:gridCol w:w="3009"/>
        <w:gridCol w:w="3009"/>
      </w:tblGrid>
      <w:tr>
        <w:trPr>
          <w:trHeight w:hRule="exact" w:val="1384"/>
        </w:trPr>
        <w:tc>
          <w:tcPr>
            <w:tcW w:type="dxa" w:w="382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50" w:after="0"/>
              <w:ind w:left="14" w:right="57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Будівництво – сфера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з багаторічними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несприятливими показниками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нещасних випадків на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виробництві. </w:t>
            </w:r>
          </w:p>
          <w:p>
            <w:pPr>
              <w:autoSpaceDN w:val="0"/>
              <w:autoSpaceDE w:val="0"/>
              <w:widowControl/>
              <w:spacing w:line="254" w:lineRule="auto" w:before="0" w:after="682"/>
              <w:ind w:left="14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В основному це пов’язано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з великою кількістю серйозних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травм, які виникають під час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падінь з висоти в малих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і середніх будівельних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компаніях, однак інформація в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цій брошурі призначена для всіх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суб’єктів, які здійснюють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будівельну діяльність.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822"/>
            </w:tblGrid>
            <w:tr>
              <w:trPr>
                <w:trHeight w:hRule="exact" w:val="558"/>
              </w:trPr>
              <w:tc>
                <w:tcPr>
                  <w:tcW w:type="dxa" w:w="3836"/>
                  <w:tcBorders/>
                  <w:shd w:fill="606fb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0" w:lineRule="auto" w:before="56" w:after="0"/>
                    <w:ind w:left="416" w:right="0" w:firstLine="0"/>
                    <w:jc w:val="left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FFFFFF"/>
                      <w:sz w:val="34"/>
                    </w:rPr>
                    <w:t>Основні обов'язки р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0" w:right="98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694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42" w:after="0"/>
              <w:ind w:left="128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роботою на висоті та глибинах вважаються робота та рух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працівника, за яких йому загрожує небезпека падіння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з висоти,падіння  у глибину або колапсу; при цьому працівник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має бути захищеним від падіння; захист працівників від падінь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повинен забезпечуватися колективними або індивідуальними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засобами захисту незалежно від висоти на всіх робочих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місцях та дорогах над водою або іншими речовинами, де існує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ризик заподіяння шкоди здоров'ю, та з висоти 1,5 м на всіх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інших робочих місцях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термін колективна безпека означає захисно-стримувальні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споруди; вимоги до них зазначені у відповідних стандартах;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крім стандартних вимог, необхідно дотримуватися інструкцій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з монтажу та використання, що додаються до цих конструкцій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або спеціально розроблених технологічних процедур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при використанні колективного захисту від падіння на вільний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край і від падіння через недостатньо несучу конструкцію при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роботі на суцільних поверхнях можна захистити лише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визначене місце роботи, а не всю площу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засоби індивідуального захисту (ЗІЗ) від падінь застосовують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у тих випадках, коли характер роботи не дозволяє або значно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ускладнює використання технічного проекту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також слід захистити та зберігти на висоті всі матеріали,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інструменти та допоміжні засоби від падіння, ковзання та від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вітру не тільки під час роботи, а й після її закінчення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робоча зона повинна бути огороджена таким чином, щоб не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загрожувати як працівникам, так і інтересам інших осіб </w:t>
            </w:r>
          </w:p>
          <w:p>
            <w:pPr>
              <w:autoSpaceDN w:val="0"/>
              <w:autoSpaceDE w:val="0"/>
              <w:widowControl/>
              <w:spacing w:line="300" w:lineRule="auto" w:before="1078" w:after="0"/>
              <w:ind w:left="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FFFFFF"/>
                <w:sz w:val="34"/>
              </w:rPr>
              <w:t>тодавця</w:t>
            </w:r>
          </w:p>
        </w:tc>
      </w:tr>
      <w:tr>
        <w:trPr>
          <w:trHeight w:hRule="exact" w:val="1860"/>
        </w:trPr>
        <w:tc>
          <w:tcPr>
            <w:tcW w:type="dxa" w:w="3009"/>
            <w:vMerge/>
            <w:tcBorders/>
          </w:tcPr>
          <w:p/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4" w:after="0"/>
              <w:ind w:left="0" w:right="98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1200"/>
        </w:trPr>
        <w:tc>
          <w:tcPr>
            <w:tcW w:type="dxa" w:w="3009"/>
            <w:vMerge/>
            <w:tcBorders/>
          </w:tcPr>
          <w:p/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14" w:after="0"/>
              <w:ind w:left="0" w:right="102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900"/>
        </w:trPr>
        <w:tc>
          <w:tcPr>
            <w:tcW w:type="dxa" w:w="3009"/>
            <w:vMerge/>
            <w:tcBorders/>
          </w:tcPr>
          <w:p/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4" w:after="0"/>
              <w:ind w:left="0" w:right="102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800"/>
        </w:trPr>
        <w:tc>
          <w:tcPr>
            <w:tcW w:type="dxa" w:w="3009"/>
            <w:vMerge/>
            <w:tcBorders/>
          </w:tcPr>
          <w:p/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10" w:after="0"/>
              <w:ind w:left="0" w:right="102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2398"/>
        </w:trPr>
        <w:tc>
          <w:tcPr>
            <w:tcW w:type="dxa" w:w="3009"/>
            <w:vMerge/>
            <w:tcBorders/>
          </w:tcPr>
          <w:p/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16" w:after="0"/>
              <w:ind w:left="0" w:right="102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  <w:p>
            <w:pPr>
              <w:autoSpaceDN w:val="0"/>
              <w:autoSpaceDE w:val="0"/>
              <w:widowControl/>
              <w:spacing w:line="300" w:lineRule="auto" w:before="1360" w:after="0"/>
              <w:ind w:left="0" w:right="0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FFFFFF"/>
                <w:sz w:val="34"/>
              </w:rPr>
              <w:t>обо</w:t>
            </w:r>
          </w:p>
        </w:tc>
        <w:tc>
          <w:tcPr>
            <w:tcW w:type="dxa" w:w="30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18.0" w:type="dxa"/>
      </w:tblPr>
      <w:tblGrid>
        <w:gridCol w:w="3009"/>
        <w:gridCol w:w="3009"/>
        <w:gridCol w:w="3009"/>
      </w:tblGrid>
      <w:tr>
        <w:trPr>
          <w:trHeight w:hRule="exact" w:val="578"/>
        </w:trPr>
        <w:tc>
          <w:tcPr>
            <w:tcW w:type="dxa" w:w="1148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40"/>
        </w:trPr>
        <w:tc>
          <w:tcPr>
            <w:tcW w:type="dxa" w:w="582"/>
            <w:tcBorders/>
            <w:shd w:fill="35404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8" w:after="0"/>
              <w:ind w:left="0" w:right="126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  <w:p>
            <w:pPr>
              <w:autoSpaceDN w:val="0"/>
              <w:autoSpaceDE w:val="0"/>
              <w:widowControl/>
              <w:spacing w:line="200" w:lineRule="exact" w:before="574" w:after="0"/>
              <w:ind w:left="0" w:right="126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  <w:p>
            <w:pPr>
              <w:autoSpaceDN w:val="0"/>
              <w:autoSpaceDE w:val="0"/>
              <w:widowControl/>
              <w:spacing w:line="200" w:lineRule="exact" w:before="68" w:after="0"/>
              <w:ind w:left="0" w:right="122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  <w:p>
            <w:pPr>
              <w:autoSpaceDN w:val="0"/>
              <w:autoSpaceDE w:val="0"/>
              <w:widowControl/>
              <w:spacing w:line="200" w:lineRule="exact" w:before="860" w:after="0"/>
              <w:ind w:left="0" w:right="122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10906"/>
            <w:gridSpan w:val="2"/>
            <w:tcBorders/>
            <w:shd w:fill="35404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52" w:after="0"/>
              <w:ind w:left="100" w:right="57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роботодавець зобов’язаний забезпечити безпеку і охорону праці (БiОП) працівників з урахуванням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ризиків можливої   небезпеки для їх життя та здоров’я; роботодавець також зобов'язаний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забезпечити охорону праці осіб, які присутні на робочому місці з його відома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роботодавець зобов'язаний оцінювати ризики, виявляти причини та вживати заходів щодо їх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усунення роботодавець забезпечує працівників навчанням з охорони праці на висоті та глибині,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особливо робіт на висоті понад 1,5 м, де працівники не можуть працювати з твердих та безпечних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робочих підлог, при роботі на рухомих робочих майданчиках, на драбинах висотою понад 5 м, та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навчанням з використання ЗІЗ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роботодавець зобов'язаний забезпечити працівників ЗІЗ, які повинні захищати працівників від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ризиків, не загрожувати їх здоров'ю та не повинні перешкоджати виконанню роботи</w:t>
            </w:r>
          </w:p>
        </w:tc>
      </w:tr>
      <w:tr>
        <w:trPr>
          <w:trHeight w:hRule="exact" w:val="562"/>
        </w:trPr>
        <w:tc>
          <w:tcPr>
            <w:tcW w:type="dxa" w:w="5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4800" cy="304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38" w:after="0"/>
              <w:ind w:left="51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64820" cy="3022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20" cy="302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88" w:after="0"/>
              <w:ind w:left="0" w:right="410" w:firstLine="0"/>
              <w:jc w:val="right"/>
            </w:pPr>
            <w:r>
              <w:rPr>
                <w:u w:val="single" w:color="1e5d9e"/>
                <w:rFonts w:ascii="ArialMT" w:hAnsi="ArialMT" w:eastAsia="ArialMT"/>
                <w:b w:val="0"/>
                <w:i w:val="0"/>
                <w:color w:val="1E5E9E"/>
                <w:sz w:val="20"/>
              </w:rPr>
              <w:hyperlink r:id="rId11" w:history="1">
                <w:r>
                  <w:rPr>
                    <w:rStyle w:val="Hyperlink"/>
                  </w:rPr>
                  <w:t>https://vubp.cz/infomaterialy-bozp</w:t>
                </w:r>
              </w:hyperlink>
            </w:r>
          </w:p>
        </w:tc>
      </w:tr>
      <w:tr>
        <w:trPr>
          <w:trHeight w:hRule="exact" w:val="260"/>
        </w:trPr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  <w:tc>
          <w:tcPr>
            <w:tcW w:type="dxa" w:w="4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22" w:after="0"/>
              <w:ind w:left="0" w:right="12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 xml:space="preserve">Редакція 2022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138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6"/>
      </w:tblGrid>
      <w:tr>
        <w:trPr>
          <w:trHeight w:hRule="exact" w:val="1210"/>
        </w:trPr>
        <w:tc>
          <w:tcPr>
            <w:tcW w:type="dxa" w:w="11906"/>
            <w:tcBorders/>
            <w:shd w:fill="55585a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36" w:val="left"/>
              </w:tabs>
              <w:autoSpaceDE w:val="0"/>
              <w:widowControl/>
              <w:spacing w:line="274" w:lineRule="auto" w:before="50" w:after="0"/>
              <w:ind w:left="1790" w:right="158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EFEFEF"/>
                <w:sz w:val="44"/>
              </w:rPr>
              <w:t xml:space="preserve">БЕЗПЕКА ПРАЦІ – СПРАВА КОЖНОГО </w:t>
            </w:r>
            <w:r>
              <w:rPr>
                <w:rFonts w:ascii="Arial" w:hAnsi="Arial" w:eastAsia="Arial"/>
                <w:b/>
                <w:i w:val="0"/>
                <w:color w:val="EFEFEF"/>
                <w:sz w:val="44"/>
              </w:rPr>
              <w:t>РОБОТОДАВЦЯ ТА ПРАЦІВНИКА</w:t>
            </w:r>
          </w:p>
        </w:tc>
      </w:tr>
    </w:tbl>
    <w:p>
      <w:pPr>
        <w:autoSpaceDN w:val="0"/>
        <w:tabs>
          <w:tab w:pos="2600" w:val="left"/>
        </w:tabs>
        <w:autoSpaceDE w:val="0"/>
        <w:widowControl/>
        <w:spacing w:line="271" w:lineRule="auto" w:before="54" w:after="374"/>
        <w:ind w:left="2176" w:right="1728" w:firstLine="0"/>
        <w:jc w:val="left"/>
      </w:pPr>
      <w:r>
        <w:rPr>
          <w:rFonts w:ascii="Arial" w:hAnsi="Arial" w:eastAsia="Arial"/>
          <w:b w:val="0"/>
          <w:i w:val="0"/>
          <w:color w:val="6170B1"/>
          <w:sz w:val="56"/>
        </w:rPr>
        <w:t>ПРИНЦИПИ БЕЗПЕЧНОЇ</w:t>
      </w:r>
      <w:r>
        <w:tab/>
      </w:r>
      <w:r>
        <w:rPr>
          <w:rFonts w:ascii="Arial" w:hAnsi="Arial" w:eastAsia="Arial"/>
          <w:b w:val="0"/>
          <w:i w:val="0"/>
          <w:color w:val="6170B1"/>
          <w:sz w:val="56"/>
        </w:rPr>
        <w:t>РОБОТИ НА ВИСОТІ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1651000</wp:posOffset>
            </wp:positionV>
            <wp:extent cx="2209800" cy="84201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84201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524"/>
        </w:trPr>
        <w:tc>
          <w:tcPr>
            <w:tcW w:type="dxa" w:w="3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60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auto" w:before="8538" w:after="0"/>
              <w:ind w:left="7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>Хід роботи на висоті</w:t>
            </w:r>
          </w:p>
        </w:tc>
        <w:tc>
          <w:tcPr>
            <w:tcW w:type="dxa" w:w="398"/>
            <w:tcBorders/>
            <w:shd w:fill="354045"/>
            <w:tcMar>
              <w:start w:w="0" w:type="dxa"/>
              <w:end w:w="0" w:type="dxa"/>
            </w:tcMar>
          </w:tcPr>
          <w:p/>
        </w:tc>
        <w:tc>
          <w:tcPr>
            <w:tcW w:type="dxa" w:w="7526"/>
            <w:tcBorders/>
            <w:shd w:fill="354045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80" w:val="left"/>
              </w:tabs>
              <w:autoSpaceDE w:val="0"/>
              <w:widowControl/>
              <w:spacing w:line="245" w:lineRule="auto" w:before="0" w:after="0"/>
              <w:ind w:left="138" w:right="144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ід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сіх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інструкціями,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FFFFFF"/>
                <w:sz w:val="34"/>
              </w:rPr>
              <w:t>Основні вимоги до конструкції</w:t>
            </w:r>
          </w:p>
        </w:tc>
      </w:tr>
      <w:tr>
        <w:trPr>
          <w:trHeight w:hRule="exact" w:val="846"/>
        </w:trPr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610"/>
            <w:gridSpan w:val="2"/>
            <w:vMerge/>
            <w:tcBorders/>
          </w:tcPr>
          <w:p/>
        </w:tc>
        <w:tc>
          <w:tcPr>
            <w:tcW w:type="dxa" w:w="398"/>
            <w:tcBorders/>
            <w:shd w:fill="606fb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6" w:after="0"/>
              <w:ind w:left="0" w:right="2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7526"/>
            <w:vMerge w:val="restart"/>
            <w:tcBorders/>
            <w:shd w:fill="606fb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0" w:after="0"/>
              <w:ind w:left="136" w:right="0" w:firstLine="0"/>
              <w:jc w:val="lef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6"/>
              </w:rPr>
              <w:t>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>огородження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висота перил  має бути мін. 1,1м (допускається також висота поручнів 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1м);  невід’ємною частиною перил також є нижня горизонтальна рейка, яку </w:t>
            </w:r>
          </w:p>
          <w:p>
            <w:pPr>
              <w:autoSpaceDN w:val="0"/>
              <w:tabs>
                <w:tab w:pos="1872" w:val="left"/>
                <w:tab w:pos="3916" w:val="left"/>
                <w:tab w:pos="5072" w:val="left"/>
                <w:tab w:pos="6574" w:val="left"/>
              </w:tabs>
              <w:autoSpaceDE w:val="0"/>
              <w:widowControl/>
              <w:spacing w:line="286" w:lineRule="auto" w:before="0" w:after="0"/>
              <w:ind w:left="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зазвичай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розміщують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на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висоті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0,15м 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однобалочна огорожа з упором застосовується на висоті робочого місця, </w:t>
            </w:r>
          </w:p>
          <w:p>
            <w:pPr>
              <w:autoSpaceDN w:val="0"/>
              <w:tabs>
                <w:tab w:pos="856" w:val="left"/>
                <w:tab w:pos="2536" w:val="left"/>
                <w:tab w:pos="3750" w:val="left"/>
                <w:tab w:pos="4572" w:val="left"/>
                <w:tab w:pos="6064" w:val="left"/>
              </w:tabs>
              <w:autoSpaceDE w:val="0"/>
              <w:widowControl/>
              <w:spacing w:line="286" w:lineRule="auto" w:before="0" w:after="0"/>
              <w:ind w:left="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що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захищається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1,5м-2м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над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прилеглою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територією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двобалочна огорожа з упором застосовується при висоті робочого місця, 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що захищається, над прилеглим середовищем більше 2м, середня </w:t>
            </w:r>
          </w:p>
          <w:p>
            <w:pPr>
              <w:autoSpaceDN w:val="0"/>
              <w:tabs>
                <w:tab w:pos="1562" w:val="left"/>
                <w:tab w:pos="2424" w:val="left"/>
                <w:tab w:pos="3208" w:val="left"/>
                <w:tab w:pos="4402" w:val="left"/>
                <w:tab w:pos="5884" w:val="left"/>
              </w:tabs>
              <w:autoSpaceDE w:val="0"/>
              <w:widowControl/>
              <w:spacing w:line="286" w:lineRule="auto" w:before="0" w:after="0"/>
              <w:ind w:left="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поперечина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може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бути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замінена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відповідним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заповненням</w:t>
            </w:r>
          </w:p>
        </w:tc>
      </w:tr>
      <w:tr>
        <w:trPr>
          <w:trHeight w:hRule="exact" w:val="620"/>
        </w:trPr>
        <w:tc>
          <w:tcPr>
            <w:tcW w:type="dxa" w:w="1805"/>
            <w:vMerge/>
            <w:tcBorders/>
          </w:tcPr>
          <w:p/>
        </w:tc>
        <w:tc>
          <w:tcPr>
            <w:tcW w:type="dxa" w:w="3610"/>
            <w:gridSpan w:val="2"/>
            <w:vMerge/>
            <w:tcBorders/>
          </w:tcPr>
          <w:p/>
        </w:tc>
        <w:tc>
          <w:tcPr>
            <w:tcW w:type="dxa" w:w="398"/>
            <w:tcBorders/>
            <w:shd w:fill="606fb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92" w:after="0"/>
              <w:ind w:left="0" w:right="2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816"/>
        </w:trPr>
        <w:tc>
          <w:tcPr>
            <w:tcW w:type="dxa" w:w="1805"/>
            <w:vMerge/>
            <w:tcBorders/>
          </w:tcPr>
          <w:p/>
        </w:tc>
        <w:tc>
          <w:tcPr>
            <w:tcW w:type="dxa" w:w="3610"/>
            <w:gridSpan w:val="2"/>
            <w:vMerge/>
            <w:tcBorders/>
          </w:tcPr>
          <w:p/>
        </w:tc>
        <w:tc>
          <w:tcPr>
            <w:tcW w:type="dxa" w:w="398"/>
            <w:tcBorders/>
            <w:shd w:fill="606fb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0" w:after="0"/>
              <w:ind w:left="0" w:right="2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884"/>
        </w:trPr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610"/>
            <w:gridSpan w:val="2"/>
            <w:vMerge/>
            <w:tcBorders/>
          </w:tcPr>
          <w:p/>
        </w:tc>
        <w:tc>
          <w:tcPr>
            <w:tcW w:type="dxa" w:w="398"/>
            <w:tcBorders/>
            <w:shd w:fill="404c4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0" w:after="0"/>
              <w:ind w:left="0" w:right="2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7526"/>
            <w:tcBorders/>
            <w:shd w:fill="404c4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70" w:after="0"/>
              <w:ind w:left="98" w:right="288" w:hanging="40"/>
              <w:jc w:val="lef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6"/>
              </w:rPr>
              <w:t>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>ліси будівельні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до кожного риштування має бути технічна документація, в тому числі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інструкція по монтажу, розбиранню та з регулярного технічного огляду </w:t>
            </w:r>
          </w:p>
        </w:tc>
      </w:tr>
      <w:tr>
        <w:trPr>
          <w:trHeight w:hRule="exact" w:val="500"/>
        </w:trPr>
        <w:tc>
          <w:tcPr>
            <w:tcW w:type="dxa" w:w="1805"/>
            <w:vMerge/>
            <w:tcBorders/>
          </w:tcPr>
          <w:p/>
        </w:tc>
        <w:tc>
          <w:tcPr>
            <w:tcW w:type="dxa" w:w="3610"/>
            <w:gridSpan w:val="2"/>
            <w:vMerge/>
            <w:tcBorders/>
          </w:tcPr>
          <w:p/>
        </w:tc>
        <w:tc>
          <w:tcPr>
            <w:tcW w:type="dxa" w:w="398"/>
            <w:tcBorders/>
            <w:shd w:fill="404c4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0" w:right="32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7526"/>
            <w:tcBorders/>
            <w:shd w:fill="404c4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0" w:after="0"/>
              <w:ind w:left="0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при монтажі, експлуатації та розбиранні риштування має бути забезпечено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безпечний рух транспорту поблизу них, у тому числі пересування пішоходів</w:t>
            </w:r>
          </w:p>
        </w:tc>
      </w:tr>
      <w:tr>
        <w:trPr>
          <w:trHeight w:hRule="exact" w:val="420"/>
        </w:trPr>
        <w:tc>
          <w:tcPr>
            <w:tcW w:type="dxa" w:w="1805"/>
            <w:vMerge/>
            <w:tcBorders/>
          </w:tcPr>
          <w:p/>
        </w:tc>
        <w:tc>
          <w:tcPr>
            <w:tcW w:type="dxa" w:w="3610"/>
            <w:gridSpan w:val="2"/>
            <w:vMerge/>
            <w:tcBorders/>
          </w:tcPr>
          <w:p/>
        </w:tc>
        <w:tc>
          <w:tcPr>
            <w:tcW w:type="dxa" w:w="398"/>
            <w:tcBorders/>
            <w:shd w:fill="404c4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0" w:right="2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7526"/>
            <w:vMerge w:val="restart"/>
            <w:tcBorders/>
            <w:shd w:fill="404c4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2" w:val="left"/>
              </w:tabs>
              <w:autoSpaceDE w:val="0"/>
              <w:widowControl/>
              <w:spacing w:line="254" w:lineRule="auto" w:before="0" w:after="0"/>
              <w:ind w:left="136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будівельні ліси  можуть спиратися тільки на  досить несучий настіл, який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може витримати навантаження від них та іх  подальшою  експлуатацією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ліси складаються із вертикальних, поперечних, горизонтальних  та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діагональних з'єднань, що зумовлюють жорсткість  конструкції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риштування повинні бути правильно закріплені; розташування анкерів та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їхня несуча здатність повинні відповідати документації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всі робочі поверхи лісів вище за рівень 2 м повинні бути обладнані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двобалковими поручнями  з упором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настил будівельних риштувань повинен бути неслизьким, захищеними від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підйому та ковзання</w:t>
            </w:r>
          </w:p>
        </w:tc>
      </w:tr>
      <w:tr>
        <w:trPr>
          <w:trHeight w:hRule="exact" w:val="480"/>
        </w:trPr>
        <w:tc>
          <w:tcPr>
            <w:tcW w:type="dxa" w:w="1805"/>
            <w:vMerge/>
            <w:tcBorders/>
          </w:tcPr>
          <w:p/>
        </w:tc>
        <w:tc>
          <w:tcPr>
            <w:tcW w:type="dxa" w:w="3610"/>
            <w:gridSpan w:val="2"/>
            <w:vMerge/>
            <w:tcBorders/>
          </w:tcPr>
          <w:p/>
        </w:tc>
        <w:tc>
          <w:tcPr>
            <w:tcW w:type="dxa" w:w="398"/>
            <w:tcBorders/>
            <w:shd w:fill="404c4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8" w:after="0"/>
              <w:ind w:left="0" w:right="32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1805"/>
            <w:vMerge/>
            <w:tcBorders/>
          </w:tcPr>
          <w:p/>
        </w:tc>
        <w:tc>
          <w:tcPr>
            <w:tcW w:type="dxa" w:w="3610"/>
            <w:gridSpan w:val="2"/>
            <w:vMerge/>
            <w:tcBorders/>
          </w:tcPr>
          <w:p/>
        </w:tc>
        <w:tc>
          <w:tcPr>
            <w:tcW w:type="dxa" w:w="398"/>
            <w:tcBorders/>
            <w:shd w:fill="404c4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58" w:after="0"/>
              <w:ind w:left="0" w:right="32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1805"/>
            <w:vMerge/>
            <w:tcBorders/>
          </w:tcPr>
          <w:p/>
        </w:tc>
        <w:tc>
          <w:tcPr>
            <w:tcW w:type="dxa" w:w="3610"/>
            <w:gridSpan w:val="2"/>
            <w:vMerge/>
            <w:tcBorders/>
          </w:tcPr>
          <w:p/>
        </w:tc>
        <w:tc>
          <w:tcPr>
            <w:tcW w:type="dxa" w:w="398"/>
            <w:tcBorders/>
            <w:shd w:fill="404c4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0" w:after="0"/>
              <w:ind w:left="0" w:right="32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1805"/>
            <w:vMerge/>
            <w:tcBorders/>
          </w:tcPr>
          <w:p/>
        </w:tc>
        <w:tc>
          <w:tcPr>
            <w:tcW w:type="dxa" w:w="3610"/>
            <w:gridSpan w:val="2"/>
            <w:vMerge/>
            <w:tcBorders/>
          </w:tcPr>
          <w:p/>
        </w:tc>
        <w:tc>
          <w:tcPr>
            <w:tcW w:type="dxa" w:w="398"/>
            <w:tcBorders/>
            <w:shd w:fill="404c4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8" w:after="0"/>
              <w:ind w:left="0" w:right="2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820"/>
        </w:trPr>
        <w:tc>
          <w:tcPr>
            <w:tcW w:type="dxa" w:w="1805"/>
            <w:vMerge/>
            <w:tcBorders/>
          </w:tcPr>
          <w:p/>
        </w:tc>
        <w:tc>
          <w:tcPr>
            <w:tcW w:type="dxa" w:w="3610"/>
            <w:gridSpan w:val="2"/>
            <w:vMerge/>
            <w:tcBorders/>
          </w:tcPr>
          <w:p/>
        </w:tc>
        <w:tc>
          <w:tcPr>
            <w:tcW w:type="dxa" w:w="398"/>
            <w:tcBorders/>
            <w:shd w:fill="404c4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2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7526"/>
            <w:tcBorders/>
            <w:shd w:fill="404c4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2" w:after="0"/>
              <w:ind w:left="136" w:right="318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зазор між стіною та настилом лісів має бути більше 2.5 м, перила повинні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бути по внутр.краю; при ширині вільного зазору до 0,4 м цей поручень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може бути лише однобортним без упору для підлоги</w:t>
            </w:r>
          </w:p>
        </w:tc>
      </w:tr>
      <w:tr>
        <w:trPr>
          <w:trHeight w:hRule="exact" w:val="540"/>
        </w:trPr>
        <w:tc>
          <w:tcPr>
            <w:tcW w:type="dxa" w:w="1805"/>
            <w:vMerge/>
            <w:tcBorders/>
          </w:tcPr>
          <w:p/>
        </w:tc>
        <w:tc>
          <w:tcPr>
            <w:tcW w:type="dxa" w:w="3610"/>
            <w:gridSpan w:val="2"/>
            <w:vMerge/>
            <w:tcBorders/>
          </w:tcPr>
          <w:p/>
        </w:tc>
        <w:tc>
          <w:tcPr>
            <w:tcW w:type="dxa" w:w="398"/>
            <w:tcBorders/>
            <w:shd w:fill="404c4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02" w:after="0"/>
              <w:ind w:left="0" w:right="2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7526"/>
            <w:vMerge w:val="restart"/>
            <w:tcBorders/>
            <w:shd w:fill="404c4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58" w:after="0"/>
              <w:ind w:left="150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відстань між настилами лісів у точці зшивання рекомендується 1,9 м (не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менше 1,75 м), у пішохідному підземному переході чи на першому поверсі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має бути не менше 2,1 м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користуватися лісами  можна лише після їх повного монтажу та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письмового прийому керівником або відповідальною особою</w:t>
            </w:r>
          </w:p>
        </w:tc>
      </w:tr>
      <w:tr>
        <w:trPr>
          <w:trHeight w:hRule="exact" w:val="780"/>
        </w:trPr>
        <w:tc>
          <w:tcPr>
            <w:tcW w:type="dxa" w:w="1805"/>
            <w:vMerge/>
            <w:tcBorders/>
          </w:tcPr>
          <w:p/>
        </w:tc>
        <w:tc>
          <w:tcPr>
            <w:tcW w:type="dxa" w:w="3610"/>
            <w:gridSpan w:val="2"/>
            <w:vMerge/>
            <w:tcBorders/>
          </w:tcPr>
          <w:p/>
        </w:tc>
        <w:tc>
          <w:tcPr>
            <w:tcW w:type="dxa" w:w="398"/>
            <w:vMerge w:val="restart"/>
            <w:tcBorders/>
            <w:shd w:fill="404c4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4" w:after="0"/>
              <w:ind w:left="0" w:right="2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142"/>
        </w:trPr>
        <w:tc>
          <w:tcPr>
            <w:tcW w:type="dxa" w:w="1805"/>
            <w:vMerge/>
            <w:tcBorders/>
          </w:tcPr>
          <w:p/>
        </w:tc>
        <w:tc>
          <w:tcPr>
            <w:tcW w:type="dxa" w:w="3610"/>
            <w:gridSpan w:val="2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752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58"/>
        </w:trPr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360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14" w:val="left"/>
                <w:tab w:pos="1196" w:val="left"/>
                <w:tab w:pos="2416" w:val="left"/>
              </w:tabs>
              <w:autoSpaceDE w:val="0"/>
              <w:widowControl/>
              <w:spacing w:line="286" w:lineRule="auto" w:before="42" w:after="0"/>
              <w:ind w:left="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під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час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виконання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робіт </w:t>
            </w:r>
          </w:p>
          <w:p>
            <w:pPr>
              <w:autoSpaceDN w:val="0"/>
              <w:tabs>
                <w:tab w:pos="1120" w:val="left"/>
                <w:tab w:pos="2384" w:val="left"/>
              </w:tabs>
              <w:autoSpaceDE w:val="0"/>
              <w:widowControl/>
              <w:spacing w:line="286" w:lineRule="auto" w:before="0" w:after="0"/>
              <w:ind w:left="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висоту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робочого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місця </w:t>
            </w:r>
          </w:p>
          <w:p>
            <w:pPr>
              <w:autoSpaceDN w:val="0"/>
              <w:tabs>
                <w:tab w:pos="1302" w:val="left"/>
                <w:tab w:pos="2544" w:val="left"/>
              </w:tabs>
              <w:autoSpaceDE w:val="0"/>
              <w:widowControl/>
              <w:spacing w:line="286" w:lineRule="auto" w:before="0" w:after="0"/>
              <w:ind w:left="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необхідно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збільшити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для 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безпечної роботи працівників </w:t>
            </w:r>
          </w:p>
          <w:p>
            <w:pPr>
              <w:autoSpaceDN w:val="0"/>
              <w:tabs>
                <w:tab w:pos="760" w:val="left"/>
                <w:tab w:pos="2272" w:val="left"/>
              </w:tabs>
              <w:autoSpaceDE w:val="0"/>
              <w:widowControl/>
              <w:spacing w:line="286" w:lineRule="auto" w:before="0" w:after="0"/>
              <w:ind w:left="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на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нормальній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висоті; </w:t>
            </w:r>
          </w:p>
          <w:p>
            <w:pPr>
              <w:autoSpaceDN w:val="0"/>
              <w:tabs>
                <w:tab w:pos="1446" w:val="left"/>
                <w:tab w:pos="2662" w:val="left"/>
              </w:tabs>
              <w:autoSpaceDE w:val="0"/>
              <w:widowControl/>
              <w:spacing w:line="286" w:lineRule="auto" w:before="0" w:after="0"/>
              <w:ind w:left="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нестабільні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предмети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не 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можна використовувати для 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збільшення робочого місця 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або виходу </w:t>
            </w:r>
          </w:p>
        </w:tc>
        <w:tc>
          <w:tcPr>
            <w:tcW w:type="dxa" w:w="398"/>
            <w:vMerge w:val="restart"/>
            <w:tcBorders/>
            <w:shd w:fill="606fb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00" w:after="0"/>
              <w:ind w:left="0" w:right="46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7526"/>
            <w:tcBorders/>
            <w:shd w:fill="606fb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86" w:after="0"/>
              <w:ind w:left="136" w:right="100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риштування оглядаються перед початком робіт та через </w:t>
            </w:r>
            <w:r>
              <w:br/>
            </w:r>
            <w:r>
              <w:rPr>
                <w:rFonts w:ascii="FontAwesome" w:hAnsi="FontAwesome" w:eastAsia="FontAwesome"/>
                <w:b w:val="0"/>
                <w:i w:val="0"/>
                <w:color w:val="FFFFFF"/>
                <w:sz w:val="26"/>
              </w:rPr>
              <w:t>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>засоби індивідуального захисту проти падіння</w:t>
            </w:r>
          </w:p>
        </w:tc>
      </w:tr>
      <w:tr>
        <w:trPr>
          <w:trHeight w:hRule="exact" w:val="1816"/>
        </w:trPr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40" w:after="0"/>
              <w:ind w:left="0" w:right="0" w:firstLine="0"/>
              <w:jc w:val="center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3610"/>
            <w:gridSpan w:val="2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7526"/>
            <w:vMerge w:val="restart"/>
            <w:tcBorders/>
            <w:shd w:fill="606fb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54" w:val="left"/>
                <w:tab w:pos="1040" w:val="left"/>
                <w:tab w:pos="1522" w:val="left"/>
                <w:tab w:pos="1688" w:val="left"/>
                <w:tab w:pos="1746" w:val="left"/>
                <w:tab w:pos="2412" w:val="left"/>
                <w:tab w:pos="3154" w:val="left"/>
                <w:tab w:pos="3596" w:val="left"/>
                <w:tab w:pos="4338" w:val="left"/>
                <w:tab w:pos="4718" w:val="left"/>
                <w:tab w:pos="6222" w:val="left"/>
                <w:tab w:pos="6320" w:val="left"/>
              </w:tabs>
              <w:autoSpaceDE w:val="0"/>
              <w:widowControl/>
              <w:spacing w:line="248" w:lineRule="exact" w:before="140" w:after="0"/>
              <w:ind w:left="124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засоби індивідуального захисту повнні відповідати характеру виконуваної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роботи, ризикам та погодній ситуації та забезпечувати безпечне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пересування, мати маркування CE та супроводжуватися інструкціями, що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містять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усі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вимоги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щодо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використання,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регулювання,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перевірки,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обслуговування, зберігання тощо; з засобом також слід поводитися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відповідно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до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інструкції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працівник, керуючий технологічним процесом та роботами на висоті,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зобов'язаний визначити точку кріплення засобів особистої безпеки,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забезпечити надійне їх закріплення у всій небезпечній зоні, провести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візуальний огляд ЗІЗ, які він використовує перед і після кожного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використання та повинен проводити технічні огляди та функціональні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dokončení a písemném přání будівельні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супроводжува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MinionPro" w:hAnsi="MinionPro" w:eastAsia="MinionPro"/>
                <w:b w:val="0"/>
                <w:i w:val="0"/>
                <w:color w:val="FFFFFF"/>
                <w:sz w:val="24"/>
              </w:rPr>
              <w:t xml:space="preserve">ання,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випробування експлуатованих ЗІЗ відповідно до вимог інструкції виробника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ж слід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CE таІЗ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MinionPro" w:hAnsi="MinionPro" w:eastAsia="MinionPro"/>
                <w:b w:val="0"/>
                <w:i w:val="0"/>
                <w:color w:val="FFFFFF"/>
                <w:sz w:val="24"/>
              </w:rPr>
              <w:t>регулюв</w:t>
            </w:r>
          </w:p>
        </w:tc>
      </w:tr>
      <w:tr>
        <w:trPr>
          <w:trHeight w:hRule="exact" w:val="1570"/>
        </w:trPr>
        <w:tc>
          <w:tcPr>
            <w:tcW w:type="dxa" w:w="1805"/>
            <w:vMerge/>
            <w:tcBorders/>
          </w:tcPr>
          <w:p/>
        </w:tc>
        <w:tc>
          <w:tcPr>
            <w:tcW w:type="dxa" w:w="36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42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доступ до робочого місця має </w:t>
            </w:r>
          </w:p>
          <w:p>
            <w:pPr>
              <w:autoSpaceDN w:val="0"/>
              <w:tabs>
                <w:tab w:pos="904" w:val="left"/>
                <w:tab w:pos="2260" w:val="left"/>
              </w:tabs>
              <w:autoSpaceDE w:val="0"/>
              <w:widowControl/>
              <w:spacing w:line="283" w:lineRule="auto" w:before="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бути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безпечним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(сходи, </w:t>
            </w:r>
          </w:p>
          <w:p>
            <w:pPr>
              <w:autoSpaceDN w:val="0"/>
              <w:tabs>
                <w:tab w:pos="1300" w:val="left"/>
                <w:tab w:pos="2354" w:val="left"/>
              </w:tabs>
              <w:autoSpaceDE w:val="0"/>
              <w:widowControl/>
              <w:spacing w:line="283" w:lineRule="auto" w:before="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пандуси,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рампи);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навіть </w:t>
            </w:r>
          </w:p>
          <w:p>
            <w:pPr>
              <w:autoSpaceDN w:val="0"/>
              <w:tabs>
                <w:tab w:pos="1360" w:val="left"/>
                <w:tab w:pos="2326" w:val="left"/>
              </w:tabs>
              <w:autoSpaceDE w:val="0"/>
              <w:widowControl/>
              <w:spacing w:line="283" w:lineRule="auto" w:before="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тимчасові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виходи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мають </w:t>
            </w:r>
          </w:p>
          <w:p>
            <w:pPr>
              <w:autoSpaceDN w:val="0"/>
              <w:tabs>
                <w:tab w:pos="1474" w:val="left"/>
                <w:tab w:pos="2134" w:val="left"/>
              </w:tabs>
              <w:autoSpaceDE w:val="0"/>
              <w:widowControl/>
              <w:spacing w:line="283" w:lineRule="auto" w:before="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відповідати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всім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вимогам </w:t>
            </w:r>
          </w:p>
          <w:p>
            <w:pPr>
              <w:autoSpaceDN w:val="0"/>
              <w:autoSpaceDE w:val="0"/>
              <w:widowControl/>
              <w:spacing w:line="283" w:lineRule="auto" w:before="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безпеки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798"/>
        </w:trPr>
        <w:tc>
          <w:tcPr>
            <w:tcW w:type="dxa" w:w="3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4" w:after="0"/>
              <w:ind w:left="6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04800" cy="3175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1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8" w:after="0"/>
              <w:ind w:left="31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64820" cy="30225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20" cy="3022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8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75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80" w:after="0"/>
              <w:ind w:left="0" w:right="410" w:firstLine="0"/>
              <w:jc w:val="right"/>
            </w:pPr>
            <w:r>
              <w:rPr>
                <w:u w:val="single" w:color="1e5d9e"/>
                <w:rFonts w:ascii="ArialMT" w:hAnsi="ArialMT" w:eastAsia="ArialMT"/>
                <w:b w:val="0"/>
                <w:i w:val="0"/>
                <w:color w:val="1E5E9E"/>
                <w:sz w:val="20"/>
              </w:rPr>
              <w:hyperlink r:id="rId11" w:history="1">
                <w:r>
                  <w:rPr>
                    <w:rStyle w:val="Hyperlink"/>
                  </w:rPr>
                  <w:t>https://vubp.cz/infomaterialy-bozp</w:t>
                </w:r>
              </w:hyperlink>
            </w:r>
            <w:r>
              <w:rPr>
                <w:rFonts w:ascii="MinionPro" w:hAnsi="MinionPro" w:eastAsia="MinionPro"/>
                <w:b w:val="0"/>
                <w:i w:val="0"/>
                <w:strike/>
                <w:color w:val="FFFFFF"/>
                <w:sz w:val="24"/>
              </w:rPr>
              <w:hyperlink r:id="rId11" w:history="1">
                <w:r>
                  <w:rPr>
                    <w:rStyle w:val="Hyperlink"/>
                  </w:rPr>
                  <w:t xml:space="preserve">ки, </w:t>
                </w:r>
              </w:hyperlink>
            </w:r>
          </w:p>
          <w:p>
            <w:pPr>
              <w:autoSpaceDN w:val="0"/>
              <w:autoSpaceDE w:val="0"/>
              <w:widowControl/>
              <w:spacing w:line="283" w:lineRule="auto" w:before="0" w:after="0"/>
              <w:ind w:left="0" w:right="12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 xml:space="preserve">Редакція 2022 </w:t>
            </w:r>
          </w:p>
        </w:tc>
      </w:tr>
    </w:tbl>
    <w:p>
      <w:pPr>
        <w:autoSpaceDN w:val="0"/>
        <w:autoSpaceDE w:val="0"/>
        <w:widowControl/>
        <w:spacing w:line="324" w:lineRule="exact" w:before="44" w:after="0"/>
        <w:ind w:left="0" w:right="2936" w:firstLine="0"/>
        <w:jc w:val="right"/>
      </w:pPr>
      <w:r>
        <w:rPr>
          <w:rFonts w:ascii="MinionPro" w:hAnsi="MinionPro" w:eastAsia="MinionPro"/>
          <w:b w:val="0"/>
          <w:i w:val="0"/>
          <w:color w:val="FFFFFF"/>
          <w:sz w:val="24"/>
        </w:rPr>
        <w:t>ня</w:t>
      </w:r>
    </w:p>
    <w:sectPr w:rsidR="00FC693F" w:rsidRPr="0006063C" w:rsidSect="00034616">
      <w:pgSz w:w="11906" w:h="16838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vubp.cz/infomaterialy-bozp/" TargetMode="External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