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1060"/>
        </w:trPr>
        <w:tc>
          <w:tcPr>
            <w:tcW w:type="dxa" w:w="11906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64" w:val="left"/>
                <w:tab w:pos="1960" w:val="left"/>
                <w:tab w:pos="4088" w:val="left"/>
                <w:tab w:pos="5206" w:val="left"/>
                <w:tab w:pos="7554" w:val="left"/>
              </w:tabs>
              <w:autoSpaceDE w:val="0"/>
              <w:widowControl/>
              <w:spacing w:line="838" w:lineRule="exact" w:before="0" w:after="0"/>
              <w:ind w:left="496" w:right="144" w:firstLine="0"/>
              <w:jc w:val="left"/>
            </w:pPr>
            <w:r>
              <w:tab/>
            </w:r>
            <w:r>
              <w:rPr>
                <w:rFonts w:ascii="Arial" w:hAnsi="Arial" w:eastAsia="Arial"/>
                <w:b/>
                <w:i w:val="0"/>
                <w:color w:val="F5F4F4"/>
                <w:sz w:val="44"/>
              </w:rPr>
              <w:t xml:space="preserve">BEZPEČNOST PRÁCE JE VĚCÍ KAŽDÉHO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F5F4F4"/>
                <w:sz w:val="44"/>
              </w:rPr>
              <w:t xml:space="preserve">ZAMĚSTNAVATELE A ZAMĚSTNANCE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C96C2E"/>
                <w:sz w:val="72"/>
              </w:rPr>
              <w:t xml:space="preserve">PRACOVNÍ ÚRAZ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C96C2E"/>
                <w:sz w:val="72"/>
              </w:rPr>
              <w:t xml:space="preserve">CO TEĎ?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FFFFFF"/>
                <w:sz w:val="34"/>
              </w:rPr>
              <w:t xml:space="preserve">Zaměstnavatel je povinen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20"/>
              </w:rPr>
              <w:t>1</w:t>
            </w:r>
            <w:r>
              <w:tab/>
            </w: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  <w:p>
            <w:pPr>
              <w:autoSpaceDN w:val="0"/>
              <w:autoSpaceDE w:val="0"/>
              <w:widowControl/>
              <w:spacing w:line="200" w:lineRule="exact" w:before="0" w:after="0"/>
              <w:ind w:left="0" w:right="6528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  <w:p>
            <w:pPr>
              <w:autoSpaceDN w:val="0"/>
              <w:tabs>
                <w:tab w:pos="5490" w:val="left"/>
              </w:tabs>
              <w:autoSpaceDE w:val="0"/>
              <w:widowControl/>
              <w:spacing w:line="282" w:lineRule="exact" w:before="0" w:after="0"/>
              <w:ind w:left="5206" w:right="144" w:firstLine="0"/>
              <w:jc w:val="lef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místo úrazu (varovné světlo, praporek, zvukový signál)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okolí místa úrazu (komunikace, stavební díly, zastavit stroj, odpojit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energovody apod.)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dokumentaci místa úrazu (fotografie, nákres)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>Zajistit</w:t>
            </w:r>
          </w:p>
          <w:p>
            <w:pPr>
              <w:autoSpaceDN w:val="0"/>
              <w:tabs>
                <w:tab w:pos="5206" w:val="left"/>
                <w:tab w:pos="5490" w:val="left"/>
              </w:tabs>
              <w:autoSpaceDE w:val="0"/>
              <w:widowControl/>
              <w:spacing w:line="64" w:lineRule="exact" w:before="1574" w:after="0"/>
              <w:ind w:left="4088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20"/>
              </w:rPr>
              <w:t>2</w:t>
            </w:r>
            <w:r>
              <w:tab/>
            </w: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příčiny a okolnosti úrazu, pokud možno za účasti postiženého </w:t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zaměstnance, svědků, odborové organizace nebo zástupce pro oblast </w:t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bezpečnosti a ochrany zdraví při práci; přitom minimálně do doby </w:t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ohledání místa úrazu bez vážných důvodů neměnit stav na místě </w:t>
            </w:r>
            <w:r>
              <w:tab/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>Vyšetřit</w:t>
            </w:r>
          </w:p>
          <w:p>
            <w:pPr>
              <w:autoSpaceDN w:val="0"/>
              <w:autoSpaceDE w:val="0"/>
              <w:widowControl/>
              <w:spacing w:line="283" w:lineRule="auto" w:before="0" w:after="0"/>
              <w:ind w:left="0" w:right="59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úrazu</w:t>
            </w:r>
          </w:p>
          <w:p>
            <w:pPr>
              <w:autoSpaceDN w:val="0"/>
              <w:tabs>
                <w:tab w:pos="318" w:val="left"/>
              </w:tabs>
              <w:autoSpaceDE w:val="0"/>
              <w:widowControl/>
              <w:spacing w:line="602" w:lineRule="exact" w:before="344" w:after="0"/>
              <w:ind w:left="156" w:right="8784" w:firstLine="0"/>
              <w:jc w:val="lef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  <w:r>
              <w:br/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FFFFFF"/>
                <w:sz w:val="34"/>
              </w:rPr>
              <w:t>Každý je povinen</w:t>
            </w:r>
          </w:p>
          <w:p>
            <w:pPr>
              <w:autoSpaceDN w:val="0"/>
              <w:tabs>
                <w:tab w:pos="4088" w:val="left"/>
                <w:tab w:pos="5206" w:val="left"/>
              </w:tabs>
              <w:autoSpaceDE w:val="0"/>
              <w:widowControl/>
              <w:spacing w:line="274" w:lineRule="exact" w:before="0" w:after="0"/>
              <w:ind w:left="4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poskytnout první pomoc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20"/>
              </w:rPr>
              <w:t>3</w:t>
            </w:r>
            <w:r>
              <w:tab/>
            </w: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  <w:p>
            <w:pPr>
              <w:autoSpaceDN w:val="0"/>
              <w:tabs>
                <w:tab w:pos="5500" w:val="left"/>
              </w:tabs>
              <w:autoSpaceDE w:val="0"/>
              <w:widowControl/>
              <w:spacing w:line="288" w:lineRule="exact" w:before="0" w:after="0"/>
              <w:ind w:left="5206" w:right="144" w:firstLine="0"/>
              <w:jc w:val="lef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Pracovní úraz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územně příslušnému útvaru Policie ČR při podezření z trestného činu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příslušné odborové organizaci a zástupci zaměstnanců pro oblast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BOZP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>Ohlásit bez zbytečného odkladu</w:t>
            </w:r>
          </w:p>
          <w:p>
            <w:pPr>
              <w:autoSpaceDN w:val="0"/>
              <w:tabs>
                <w:tab w:pos="428" w:val="left"/>
                <w:tab w:pos="5206" w:val="left"/>
                <w:tab w:pos="5500" w:val="left"/>
              </w:tabs>
              <w:autoSpaceDE w:val="0"/>
              <w:widowControl/>
              <w:spacing w:line="200" w:lineRule="exact" w:before="0" w:after="0"/>
              <w:ind w:left="156" w:right="0" w:firstLine="0"/>
              <w:jc w:val="lef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uklidnit postiženého</w:t>
            </w:r>
            <w:r>
              <w:tab/>
            </w: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příslušnému oblastnímu inspektorátu práce nebo obvodnímu báňskému </w:t>
            </w:r>
          </w:p>
          <w:p>
            <w:pPr>
              <w:autoSpaceDN w:val="0"/>
              <w:tabs>
                <w:tab w:pos="428" w:val="left"/>
                <w:tab w:pos="1290" w:val="left"/>
                <w:tab w:pos="2050" w:val="left"/>
                <w:tab w:pos="5500" w:val="left"/>
              </w:tabs>
              <w:autoSpaceDE w:val="0"/>
              <w:widowControl/>
              <w:spacing w:line="280" w:lineRule="exact" w:before="0" w:after="0"/>
              <w:ind w:left="156" w:right="144" w:firstLine="0"/>
              <w:jc w:val="lef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přivolat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lékaře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(eventuálně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úřadu*), je-li pracovní neschopnost po úrazu delší než 3 kalendářní dny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zajistit dopravu k lékaři)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nebo je hospitalizace zaměstnance delší než 5 dní</w:t>
            </w:r>
          </w:p>
          <w:p>
            <w:pPr>
              <w:autoSpaceDN w:val="0"/>
              <w:tabs>
                <w:tab w:pos="428" w:val="left"/>
                <w:tab w:pos="5206" w:val="left"/>
                <w:tab w:pos="5500" w:val="left"/>
              </w:tabs>
              <w:autoSpaceDE w:val="0"/>
              <w:widowControl/>
              <w:spacing w:line="256" w:lineRule="exact" w:before="0" w:after="0"/>
              <w:ind w:left="156" w:right="2016" w:firstLine="0"/>
              <w:jc w:val="lef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oznámit pracovní úraz svému </w:t>
            </w:r>
            <w:r>
              <w:tab/>
            </w: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zaměstnavateli, který zaměstnance k práci vyslal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vedoucímu/zaměstnavateli</w:t>
            </w:r>
          </w:p>
          <w:p>
            <w:pPr>
              <w:autoSpaceDN w:val="0"/>
              <w:tabs>
                <w:tab w:pos="428" w:val="left"/>
                <w:tab w:pos="5500" w:val="left"/>
              </w:tabs>
              <w:autoSpaceDE w:val="0"/>
              <w:widowControl/>
              <w:spacing w:line="200" w:lineRule="exact" w:before="0" w:after="0"/>
              <w:ind w:left="156" w:right="0" w:firstLine="0"/>
              <w:jc w:val="lef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podle potřeby přivolat policii,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Smrtelný pracovní úraz</w:t>
            </w:r>
          </w:p>
          <w:p>
            <w:pPr>
              <w:autoSpaceDN w:val="0"/>
              <w:tabs>
                <w:tab w:pos="5206" w:val="left"/>
                <w:tab w:pos="5500" w:val="left"/>
              </w:tabs>
              <w:autoSpaceDE w:val="0"/>
              <w:widowControl/>
              <w:spacing w:line="274" w:lineRule="exact" w:before="0" w:after="0"/>
              <w:ind w:left="4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hasiče</w:t>
            </w:r>
            <w:r>
              <w:tab/>
            </w: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územně příslušnému útvaru Policie ČR</w:t>
            </w:r>
          </w:p>
          <w:p>
            <w:pPr>
              <w:autoSpaceDN w:val="0"/>
              <w:tabs>
                <w:tab w:pos="5500" w:val="left"/>
              </w:tabs>
              <w:autoSpaceDE w:val="0"/>
              <w:widowControl/>
              <w:spacing w:line="256" w:lineRule="exact" w:before="0" w:after="0"/>
              <w:ind w:left="5206" w:right="144" w:firstLine="0"/>
              <w:jc w:val="lef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příslušné odborové organizaci a zástupci zaměstnanců pro oblast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BOZP</w:t>
            </w:r>
          </w:p>
          <w:p>
            <w:pPr>
              <w:autoSpaceDN w:val="0"/>
              <w:tabs>
                <w:tab w:pos="5206" w:val="left"/>
                <w:tab w:pos="5500" w:val="left"/>
              </w:tabs>
              <w:autoSpaceDE w:val="0"/>
              <w:widowControl/>
              <w:spacing w:line="300" w:lineRule="exact" w:before="0" w:after="0"/>
              <w:ind w:left="402" w:right="144" w:firstLine="0"/>
              <w:jc w:val="left"/>
            </w:pPr>
            <w:r>
              <w:tab/>
            </w: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příslušnému oblastnímu inspektorátu práce*) nebo příslušnému </w:t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obvodnímu báňskému úřadu*)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FFFFFF"/>
                <w:sz w:val="34"/>
              </w:rPr>
              <w:t xml:space="preserve">Zaměstnanec </w:t>
            </w:r>
            <w:r>
              <w:tab/>
            </w: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  <w:p>
            <w:pPr>
              <w:autoSpaceDN w:val="0"/>
              <w:tabs>
                <w:tab w:pos="5206" w:val="left"/>
                <w:tab w:pos="5500" w:val="left"/>
              </w:tabs>
              <w:autoSpaceDE w:val="0"/>
              <w:widowControl/>
              <w:spacing w:line="288" w:lineRule="exact" w:before="0" w:after="0"/>
              <w:ind w:left="402" w:right="864" w:firstLine="0"/>
              <w:jc w:val="left"/>
            </w:pPr>
            <w:r>
              <w:tab/>
            </w: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zaměstnavateli, který zaměstnance k práci vyslal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zdravotní pojišťovně postiženého zaměstnance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FFFFFF"/>
                <w:sz w:val="34"/>
              </w:rPr>
              <w:t xml:space="preserve">je povinen </w:t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6"/>
              </w:rPr>
              <w:t>*) jehož dozoru podléhají pracoviště, stavby, činnosti nebo technická zařízení</w:t>
            </w:r>
          </w:p>
        </w:tc>
      </w:tr>
      <w:tr>
        <w:trPr>
          <w:trHeight w:hRule="exact" w:val="680"/>
        </w:trPr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0" w:right="26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33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0" w:after="0"/>
              <w:ind w:left="62" w:right="492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bezodkladně oznámit svému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nadřízenému svůj pracovní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úraz, pokud mu to jeho zdravotní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stav dovolí, a pracovní úraz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jiného zaměstnance, popřípadě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úraz jiné fyzické osoby, jehož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byl svědkem, a spolupracovat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při objasňování jeho příčin.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" w:after="0"/>
              <w:ind w:left="0" w:right="2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20"/>
              </w:rPr>
              <w:t>4</w:t>
            </w:r>
          </w:p>
        </w:tc>
        <w:tc>
          <w:tcPr>
            <w:tcW w:type="dxa" w:w="45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6" w:after="0"/>
              <w:ind w:left="0" w:right="6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64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auto" w:before="290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>Zaměstnavatel je dále povinen</w:t>
            </w:r>
          </w:p>
        </w:tc>
      </w:tr>
      <w:tr>
        <w:trPr>
          <w:trHeight w:hRule="exact" w:val="280"/>
        </w:trPr>
        <w:tc>
          <w:tcPr>
            <w:tcW w:type="dxa" w:w="1504"/>
            <w:vMerge/>
            <w:tcBorders/>
          </w:tcPr>
          <w:p/>
        </w:tc>
        <w:tc>
          <w:tcPr>
            <w:tcW w:type="dxa" w:w="3008"/>
            <w:gridSpan w:val="2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646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90" w:val="left"/>
                <w:tab w:pos="1794" w:val="left"/>
                <w:tab w:pos="2978" w:val="left"/>
                <w:tab w:pos="4006" w:val="left"/>
                <w:tab w:pos="4334" w:val="left"/>
                <w:tab w:pos="5050" w:val="left"/>
              </w:tabs>
              <w:autoSpaceDE w:val="0"/>
              <w:widowControl/>
              <w:spacing w:line="252" w:lineRule="auto" w:before="30" w:after="0"/>
              <w:ind w:left="62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vést evidenci o všech úrazech v knize úrazů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vyhotovit záznamy a vést dokumentaci o všech úrazech s pracovní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neschopností delší než tři kalendářní dny nebo o smrtelných úrazech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odevzdat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jedno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vyhotovení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záznamu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o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úrazu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postiženému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zaměstnanci, případně jeho rodinným příslušníkům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zasílat hromadně stejnopisy záznamů o úrazech za kalendářní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měsíc do pátého dne následujícího měsíce příslušnému oblastnímu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inspektorátu práce nebo obvodnímu báňskému úřadu a zdravotní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pojišťovně postiženého zaměstnance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zasílat v případě smrtelného úrazu záznam o úrazu nejpozději do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pěti kalendářních dnů od doby, kdy se o úrazu dozvěděl, územně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příslušnému útvaru Policie ČR, příslušnému oblastnímu inspektorátu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práce nebo obvodnímu báňskému úřadu a zdravotní pojišťovně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postiženého zaměstnance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přijmout opatření proti opakování úrazu</w:t>
            </w:r>
          </w:p>
        </w:tc>
      </w:tr>
      <w:tr>
        <w:trPr>
          <w:trHeight w:hRule="exact" w:val="360"/>
        </w:trPr>
        <w:tc>
          <w:tcPr>
            <w:tcW w:type="dxa" w:w="1504"/>
            <w:vMerge/>
            <w:tcBorders/>
          </w:tcPr>
          <w:p/>
        </w:tc>
        <w:tc>
          <w:tcPr>
            <w:tcW w:type="dxa" w:w="3008"/>
            <w:gridSpan w:val="2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4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6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620"/>
        </w:trPr>
        <w:tc>
          <w:tcPr>
            <w:tcW w:type="dxa" w:w="1504"/>
            <w:vMerge/>
            <w:tcBorders/>
          </w:tcPr>
          <w:p/>
        </w:tc>
        <w:tc>
          <w:tcPr>
            <w:tcW w:type="dxa" w:w="3008"/>
            <w:gridSpan w:val="2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4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6" w:after="0"/>
              <w:ind w:left="0" w:right="6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920"/>
        </w:trPr>
        <w:tc>
          <w:tcPr>
            <w:tcW w:type="dxa" w:w="36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40" w:val="left"/>
                <w:tab w:pos="1456" w:val="left"/>
                <w:tab w:pos="1488" w:val="left"/>
                <w:tab w:pos="2146" w:val="left"/>
                <w:tab w:pos="2554" w:val="left"/>
              </w:tabs>
              <w:autoSpaceDE w:val="0"/>
              <w:widowControl/>
              <w:spacing w:line="254" w:lineRule="auto" w:before="902" w:after="0"/>
              <w:ind w:left="284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Podrobně </w:t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jsou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povinnosti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zaměstnavatelů a zaměstnanců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uvedeny v § 105 a § 106 odst. 4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písm.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h)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zákoníku </w:t>
            </w:r>
            <w:r>
              <w:br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práce,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a v nařízení vlády č. 201/2010 Sb.,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o způsobu evidence úrazů, hlášení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a zasílání záznamu o úrazu.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4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6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740"/>
        </w:trPr>
        <w:tc>
          <w:tcPr>
            <w:tcW w:type="dxa" w:w="4512"/>
            <w:gridSpan w:val="3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4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6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1100"/>
        </w:trPr>
        <w:tc>
          <w:tcPr>
            <w:tcW w:type="dxa" w:w="4512"/>
            <w:gridSpan w:val="3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4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06" w:after="0"/>
              <w:ind w:left="0" w:right="6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540"/>
        </w:trPr>
        <w:tc>
          <w:tcPr>
            <w:tcW w:type="dxa" w:w="12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0" w:after="0"/>
              <w:ind w:left="0" w:right="2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04800" cy="304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6" w:after="0"/>
              <w:ind w:left="31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64820" cy="3022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20" cy="302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66" w:after="0"/>
              <w:ind w:left="0" w:right="410" w:firstLine="0"/>
              <w:jc w:val="right"/>
            </w:pPr>
            <w:r>
              <w:rPr>
                <w:u w:val="single" w:color="265a9b"/>
                <w:rFonts w:ascii="ArialMT" w:hAnsi="ArialMT" w:eastAsia="ArialMT"/>
                <w:b w:val="0"/>
                <w:i w:val="0"/>
                <w:color w:val="275B9B"/>
                <w:sz w:val="20"/>
              </w:rPr>
              <w:hyperlink r:id="rId11" w:history="1">
                <w:r>
                  <w:rPr>
                    <w:rStyle w:val="Hyperlink"/>
                  </w:rPr>
                  <w:t>https://vubp.cz/infomaterialy-bozp</w:t>
                </w:r>
              </w:hyperlink>
            </w:r>
          </w:p>
        </w:tc>
      </w:tr>
      <w:tr>
        <w:trPr>
          <w:trHeight w:hRule="exact" w:val="260"/>
        </w:trPr>
        <w:tc>
          <w:tcPr>
            <w:tcW w:type="dxa" w:w="3008"/>
            <w:gridSpan w:val="2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82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22" w:after="0"/>
              <w:ind w:left="0" w:right="13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Vydáno 2021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1320800</wp:posOffset>
            </wp:positionV>
            <wp:extent cx="7569200" cy="8655962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8655962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0" w:right="0" w:bottom="138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vubp.cz/infomaterialy-bozp/" TargetMode="External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