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3102"/>
        </w:trPr>
        <w:tc>
          <w:tcPr>
            <w:tcW w:type="dxa" w:w="11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>ZAMĚSTNAVATELE A ZAMĚSTNANCE</w:t>
            </w:r>
          </w:p>
          <w:p>
            <w:pPr>
              <w:autoSpaceDN w:val="0"/>
              <w:tabs>
                <w:tab w:pos="6892" w:val="left"/>
              </w:tabs>
              <w:autoSpaceDE w:val="0"/>
              <w:widowControl/>
              <w:spacing w:line="245" w:lineRule="auto" w:before="0" w:after="0"/>
              <w:ind w:left="53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072B9"/>
                <w:sz w:val="72"/>
              </w:rPr>
              <w:t xml:space="preserve">PRAKTICKÉ PROVÁDĚNÍ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072B9"/>
                <w:sz w:val="72"/>
              </w:rPr>
              <w:t xml:space="preserve">ŠKOLENÍ BOZP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Vstupní školení – rámcový obsah</w:t>
            </w:r>
          </w:p>
        </w:tc>
      </w:tr>
    </w:tbl>
    <w:p>
      <w:pPr>
        <w:autoSpaceDN w:val="0"/>
        <w:autoSpaceDE w:val="0"/>
        <w:widowControl/>
        <w:spacing w:line="245" w:lineRule="auto" w:before="48" w:after="34"/>
        <w:ind w:left="6336" w:right="864" w:firstLine="0"/>
        <w:jc w:val="center"/>
      </w:pPr>
      <w:r>
        <w:rPr>
          <w:rFonts w:ascii="Arial" w:hAnsi="Arial" w:eastAsia="Arial"/>
          <w:b/>
          <w:i w:val="0"/>
          <w:color w:val="FFFFFF"/>
          <w:sz w:val="26"/>
        </w:rPr>
        <w:t xml:space="preserve">Povinnosti zaměstnavatele plynoucí </w:t>
      </w:r>
      <w:r>
        <w:br/>
      </w:r>
      <w:r>
        <w:rPr>
          <w:rFonts w:ascii="Arial" w:hAnsi="Arial" w:eastAsia="Arial"/>
          <w:b/>
          <w:i w:val="0"/>
          <w:color w:val="FFFFFF"/>
          <w:sz w:val="26"/>
        </w:rPr>
        <w:t>ze ZP č. 262/2006  Sb. (§ 101 až § 105)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1612900</wp:posOffset>
            </wp:positionV>
            <wp:extent cx="7569200" cy="85415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5415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918" w:after="0"/>
              <w:ind w:left="4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Vstupní školení BOZP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vytvářet bezpečné a zdravotně nezávadné pracovní podmínky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vyhledávat, posuzovat a hodnotit rizika možného ohrožení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bezpečnosti a zdraví zaměstnanců, informovat o nich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zaměstnance; provádět opatření k odstranění těchto rizik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k ochraně zaměstnanců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plní-li na jednom pracovišti úkoly zaměstnanci dvou a více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zaměstnavatelů, jsou zaměstnavatelé povinni vzájemně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písemně informovat o rizicích a přijatých opatřeních a seznámit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 nimi své zaměstnance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provozovat stroje, zařízení a technologie odpovídající současným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požadavkům na zajištění BOZP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zřizovat potřebná ochranná zařízení, již instalovaná udržovat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 účinném stavu, resp. zlepšovat jejich účinnost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seznamovat zaměstnance s právními a ostatními předpisy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BOZP, pravidelně ověřovat znalosti těchto předpisů a vyžadovat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kontrolovat jejich dodržování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poskytovat zaměstnancům k bezplatnému užívání potřebné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osobní ochranné pracovní prostředky podle nařízení vlády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č. 390/2021 Sb.</w:t>
            </w:r>
          </w:p>
          <w:p>
            <w:pPr>
              <w:autoSpaceDN w:val="0"/>
              <w:autoSpaceDE w:val="0"/>
              <w:widowControl/>
              <w:spacing w:line="257" w:lineRule="auto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nepřipustit, aby zaměstnanec vykonával zakázané práce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práce, jejichž náročnost by neodpovídala jeho schopnostem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zdravotní způsobilosti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bezodkladně zjišťovat a odstraňovat příčiny vzniku pracovních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úrazů a nemocí z povolání</w:t>
            </w:r>
          </w:p>
        </w:tc>
      </w:tr>
      <w:tr>
        <w:trPr>
          <w:trHeight w:hRule="exact" w:val="60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9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9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2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3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provádí se při nástupu do zaměstnání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seznamuje nové zaměstnance s právními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ostatními předpisy k zajištění BOZP, které musí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zaměstnanec při práci dodržovat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provádí se u všech zaměstnanců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4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Periodické školení BOZP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3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určí-li zaměstnavatel potřebu dané školení opakovat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či stanoví-li tak specifický předpis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6" w:after="0"/>
              <w:ind w:left="0" w:right="9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4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Speciální školení BOZP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64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" w:after="0"/>
              <w:ind w:left="13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provádí se pro určité profese včetně periodického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opakování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0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Povinnosti zaměstnance plynoucí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ze ZP č. 262/2006 Sb. (§ 106, § 301, § 302)</w:t>
            </w:r>
          </w:p>
        </w:tc>
      </w:tr>
      <w:tr>
        <w:trPr>
          <w:trHeight w:hRule="exact" w:val="280"/>
        </w:trPr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0" w:after="0"/>
              <w:ind w:left="4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Školení musí být provedeno v jazyce, který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zaměstnanec dokonale ovládá.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dodržovat povinnosti plynoucí z pracovního poměru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dodržovat právní a ostatní předpisy BOZP vztahující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 výkonu práce, se kterými byl řádně seznámen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zaměstnanci zařazení do vedoucích funkcí mají stejně jako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jejich zaměstnavatelé povinnost vytvářet podmínky a zajišťovat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plnění požadavků právních a jiných předpisů k BOZP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dbát podle svých možností o svou vlastní bezpečnost a zdraví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dbát podle svých možností o bezpečnost a zdraví dalších osob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dodržovat stanovené pracovní a technologické postupy, s nimiž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byl řádně seznámen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používat při práci osobní ochranné pracovní prostředky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ochranná zařízení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oznamovat nadřízenému nedostatky a závady BOZP a podílet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se na jejich odstraňování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 pracovišti nepožívat alkoholické nápoje, případně jiné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návykové látky, pod jejich vlivem nenastupovat do práce,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dodržovat zákaz kouření na pracovišti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účastnit se školení BOZP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podrobit se zkouškám a lékařským prohlídkám, jestliže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souvisejí s pracovním zařazením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podrobit se vyšetření na přítomnost alkoholu nebo jiných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návykových látek</w:t>
            </w:r>
          </w:p>
        </w:tc>
      </w:tr>
      <w:tr>
        <w:trPr>
          <w:trHeight w:hRule="exact" w:val="420"/>
        </w:trPr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8" w:after="0"/>
              <w:ind w:left="4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Doklady o školení BOZP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4" w:after="0"/>
              <w:ind w:left="118" w:right="0" w:firstLine="0"/>
              <w:jc w:val="both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" w:after="0"/>
              <w:ind w:left="13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Zaměstnavatel musí vést dokumentaci o školení,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ze které musí být patrno: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kdo školil a kdy (datum a místo školení)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osnova školení/obsah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kdo se školení účastnil (prezenční listina)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8" w:after="0"/>
              <w:ind w:left="41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Zaměstnavatel stanovuje způsob přezkoušení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nabytých znalostí.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8" w:after="0"/>
              <w:ind w:left="4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UPOZORNĚNÍ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428" w:right="36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 právního hlediska je pro každého zaměstnavatele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důležité, aby o všech zásadních krocích, mezi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které patří i školení zaměstnanců v oblasti BOZP,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vedl dokumentaci. Záznam o školení BOZP slouží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jako doklad o tom, zda a v jakém rozsahu bylo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školení BOZP provedeno, pro případ, že dojde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 pracovnímu úrazu, současně také slouží jako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doklad pro kontrolní činnost orgánů inspekce práce.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2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78" w:after="0"/>
              <w:ind w:left="0" w:right="284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8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6"/>
        <w:gridCol w:w="2256"/>
        <w:gridCol w:w="2256"/>
        <w:gridCol w:w="2256"/>
      </w:tblGrid>
      <w:tr>
        <w:trPr>
          <w:trHeight w:hRule="exact" w:val="1210"/>
        </w:trPr>
        <w:tc>
          <w:tcPr>
            <w:tcW w:type="dxa" w:w="11906"/>
            <w:gridSpan w:val="4"/>
            <w:tcBorders/>
            <w:shd w:fill="5e5e5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>ZAMĚSTNAVATELE A ZAMĚSTNANCE</w:t>
            </w:r>
          </w:p>
        </w:tc>
      </w:tr>
      <w:tr>
        <w:trPr>
          <w:trHeight w:hRule="exact" w:val="1483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172" w:after="0"/>
              <w:ind w:left="312" w:right="96" w:firstLine="0"/>
              <w:jc w:val="both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2" w:lineRule="exact" w:before="4608" w:after="0"/>
              <w:ind w:left="0" w:right="6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288" w:right="6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2" w:lineRule="exact" w:before="278" w:after="0"/>
              <w:ind w:left="0" w:right="6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2" w:lineRule="exact" w:before="278" w:after="0"/>
              <w:ind w:left="0" w:right="6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13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702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072B9"/>
                <w:sz w:val="72"/>
              </w:rPr>
              <w:t xml:space="preserve">INSTRUKTÁŽ BOZP </w:t>
            </w:r>
            <w:r>
              <w:rPr>
                <w:rFonts w:ascii="Arial" w:hAnsi="Arial" w:eastAsia="Arial"/>
                <w:b w:val="0"/>
                <w:i w:val="0"/>
                <w:color w:val="1072B9"/>
                <w:sz w:val="72"/>
              </w:rPr>
              <w:t>NA PRACOVIŠTI</w:t>
            </w:r>
          </w:p>
          <w:p>
            <w:pPr>
              <w:autoSpaceDN w:val="0"/>
              <w:autoSpaceDE w:val="0"/>
              <w:widowControl/>
              <w:spacing w:line="200" w:lineRule="exact" w:before="558" w:after="0"/>
              <w:ind w:left="0" w:right="65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tabs>
                <w:tab w:pos="5378" w:val="left"/>
                <w:tab w:pos="6426" w:val="left"/>
                <w:tab w:pos="6530" w:val="left"/>
              </w:tabs>
              <w:autoSpaceDE w:val="0"/>
              <w:widowControl/>
              <w:spacing w:line="806" w:lineRule="exact" w:before="0" w:after="0"/>
              <w:ind w:left="4626" w:right="288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>1</w:t>
            </w:r>
            <w:r>
              <w:tab/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(§ 2, § 7/1, 2 zákona č. 309/2006 Sb., </w:t>
            </w:r>
          </w:p>
          <w:p>
            <w:pPr>
              <w:autoSpaceDN w:val="0"/>
              <w:tabs>
                <w:tab w:pos="6766" w:val="left"/>
                <w:tab w:pos="6870" w:val="left"/>
                <w:tab w:pos="7008" w:val="left"/>
              </w:tabs>
              <w:autoSpaceDE w:val="0"/>
              <w:widowControl/>
              <w:spacing w:line="446" w:lineRule="exact" w:before="0" w:after="0"/>
              <w:ind w:left="4626" w:right="72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řešení pracovního místa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nařízení vlády č. 101/2005 Sb.)</w:t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Pracoviště a pracovní místo </w:t>
            </w:r>
          </w:p>
          <w:p>
            <w:pPr>
              <w:autoSpaceDN w:val="0"/>
              <w:tabs>
                <w:tab w:pos="6766" w:val="left"/>
              </w:tabs>
              <w:autoSpaceDE w:val="0"/>
              <w:widowControl/>
              <w:spacing w:line="200" w:lineRule="exact" w:before="0" w:after="0"/>
              <w:ind w:left="64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přístupové a únikové komunikace</w:t>
            </w:r>
          </w:p>
          <w:p>
            <w:pPr>
              <w:autoSpaceDN w:val="0"/>
              <w:tabs>
                <w:tab w:pos="6766" w:val="left"/>
              </w:tabs>
              <w:autoSpaceDE w:val="0"/>
              <w:widowControl/>
              <w:spacing w:line="250" w:lineRule="exact" w:before="0" w:after="0"/>
              <w:ind w:left="6426" w:right="144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umístění vypínačů přívodu elektrické energie,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případně uzávěrů zpracovávaných látek, plynů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apod.</w:t>
            </w:r>
          </w:p>
          <w:p>
            <w:pPr>
              <w:autoSpaceDN w:val="0"/>
              <w:tabs>
                <w:tab w:pos="6426" w:val="left"/>
                <w:tab w:pos="6766" w:val="left"/>
              </w:tabs>
              <w:autoSpaceDE w:val="0"/>
              <w:widowControl/>
              <w:spacing w:line="284" w:lineRule="exact" w:before="0" w:after="0"/>
              <w:ind w:left="120" w:right="144" w:firstLine="0"/>
              <w:jc w:val="left"/>
            </w:pP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význam zvukových a světelných signálů 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Zápis o školení BOZP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využívaných v provozu pro signalizaci </w:t>
            </w:r>
          </w:p>
          <w:p>
            <w:pPr>
              <w:autoSpaceDN w:val="0"/>
              <w:tabs>
                <w:tab w:pos="6766" w:val="left"/>
              </w:tabs>
              <w:autoSpaceDE w:val="0"/>
              <w:widowControl/>
              <w:spacing w:line="370" w:lineRule="auto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 provedeném školení BOZP je třeba vést zápis,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nebezpečných stavů zařízení</w:t>
            </w:r>
          </w:p>
          <w:p>
            <w:pPr>
              <w:autoSpaceDN w:val="0"/>
              <w:tabs>
                <w:tab w:pos="6426" w:val="left"/>
                <w:tab w:pos="6766" w:val="left"/>
              </w:tabs>
              <w:autoSpaceDE w:val="0"/>
              <w:widowControl/>
              <w:spacing w:line="27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který má obsahovat: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místo první pomoci, umístění lékárničky</w:t>
            </w:r>
          </w:p>
          <w:p>
            <w:pPr>
              <w:autoSpaceDN w:val="0"/>
              <w:tabs>
                <w:tab w:pos="6426" w:val="left"/>
                <w:tab w:pos="6766" w:val="left"/>
              </w:tabs>
              <w:autoSpaceDE w:val="0"/>
              <w:widowControl/>
              <w:spacing w:line="27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místo konání školení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důležitá telefonní čísla, případně osoby, na </w:t>
            </w:r>
          </w:p>
          <w:p>
            <w:pPr>
              <w:autoSpaceDN w:val="0"/>
              <w:tabs>
                <w:tab w:pos="6766" w:val="left"/>
              </w:tabs>
              <w:autoSpaceDE w:val="0"/>
              <w:widowControl/>
              <w:spacing w:line="370" w:lineRule="auto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datum školení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které je třeba se v případě zjištění závad nebo </w:t>
            </w:r>
          </w:p>
          <w:p>
            <w:pPr>
              <w:autoSpaceDN w:val="0"/>
              <w:tabs>
                <w:tab w:pos="6766" w:val="left"/>
              </w:tabs>
              <w:autoSpaceDE w:val="0"/>
              <w:widowControl/>
              <w:spacing w:line="370" w:lineRule="auto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osnovu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nebezpečných situací obrátit</w:t>
            </w:r>
          </w:p>
          <w:p>
            <w:pPr>
              <w:autoSpaceDN w:val="0"/>
              <w:autoSpaceDE w:val="0"/>
              <w:widowControl/>
              <w:spacing w:line="286" w:lineRule="auto" w:before="44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podpis školitele</w:t>
            </w:r>
          </w:p>
          <w:p>
            <w:pPr>
              <w:autoSpaceDN w:val="0"/>
              <w:tabs>
                <w:tab w:pos="5436" w:val="left"/>
                <w:tab w:pos="7066" w:val="left"/>
              </w:tabs>
              <w:autoSpaceDE w:val="0"/>
              <w:widowControl/>
              <w:spacing w:line="286" w:lineRule="auto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Náklady spojené se zajištěním školení BOZP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nese zaměstnavatel. U speciálních školení,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 xml:space="preserve">2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obsluha konkrétního stroje </w:t>
            </w:r>
          </w:p>
          <w:p>
            <w:pPr>
              <w:autoSpaceDN w:val="0"/>
              <w:tabs>
                <w:tab w:pos="6598" w:val="left"/>
                <w:tab w:pos="7342" w:val="left"/>
                <w:tab w:pos="7910" w:val="left"/>
              </w:tabs>
              <w:autoSpaceDE w:val="0"/>
              <w:widowControl/>
              <w:spacing w:line="257" w:lineRule="auto" w:before="0" w:after="0"/>
              <w:ind w:left="12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(§ 104 ZP, § 4/1 zákona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nebo zařízení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časový rozsah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ověření znalostí proškoleného zaměstnance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Pracovní a technologické postupy, </w:t>
            </w:r>
          </w:p>
          <w:p>
            <w:pPr>
              <w:autoSpaceDN w:val="0"/>
              <w:tabs>
                <w:tab w:pos="6696" w:val="left"/>
              </w:tabs>
              <w:autoSpaceDE w:val="0"/>
              <w:widowControl/>
              <w:spacing w:line="336" w:lineRule="auto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případně získání příslušných oprávnění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 obsluze zařízení nebo technologií, náklady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č. 309/2006 Sb., zejména nařízení </w:t>
            </w:r>
          </w:p>
          <w:p>
            <w:pPr>
              <w:autoSpaceDN w:val="0"/>
              <w:tabs>
                <w:tab w:pos="6422" w:val="left"/>
                <w:tab w:pos="6766" w:val="left"/>
                <w:tab w:pos="7398" w:val="left"/>
              </w:tabs>
              <w:autoSpaceDE w:val="0"/>
              <w:widowControl/>
              <w:spacing w:line="266" w:lineRule="exact" w:before="6" w:after="0"/>
              <w:ind w:left="12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nese zaměstnavatel pouze za předpokladu, že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vlády č. 378/2001 Sb.)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získanou kvalifikaci svých zaměstnanců využívá.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zaměstnance je třeba seznámit s pracovními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technologickými postupy a požadavky na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zajištění BOZP s přihlédnutím k charakteru stroje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nebo zařízení, zpracovávanému materiálu apod.,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 předepsanými osobními ochrannými prostředky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jejich používáním samostatně pro každý stroj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nebo zařízení, které bude obsluhovat</w:t>
            </w:r>
          </w:p>
          <w:p>
            <w:pPr>
              <w:autoSpaceDN w:val="0"/>
              <w:tabs>
                <w:tab w:pos="1068" w:val="left"/>
                <w:tab w:pos="6422" w:val="left"/>
                <w:tab w:pos="6766" w:val="left"/>
              </w:tabs>
              <w:autoSpaceDE w:val="0"/>
              <w:widowControl/>
              <w:spacing w:line="258" w:lineRule="exact" w:before="0" w:after="0"/>
              <w:ind w:left="282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zakázat nedovolené a nebezpečné pracovní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Úraz na pracovišti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postupy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(§ 102/6, 105/1, 2, 3, 106/4h) ZP, </w:t>
            </w:r>
          </w:p>
          <w:p>
            <w:pPr>
              <w:autoSpaceDN w:val="0"/>
              <w:tabs>
                <w:tab w:pos="324" w:val="left"/>
                <w:tab w:pos="4626" w:val="left"/>
              </w:tabs>
              <w:autoSpaceDE w:val="0"/>
              <w:widowControl/>
              <w:spacing w:line="360" w:lineRule="exact" w:before="162" w:after="0"/>
              <w:ind w:left="100" w:right="64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vybavení lékárničkami a jinými prostředky pro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zvládání mimořádných událostí/havárií určené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nařízení vlády č. 201/2010 Sb.)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tabs>
                <w:tab w:pos="4626" w:val="left"/>
                <w:tab w:pos="5392" w:val="left"/>
                <w:tab w:pos="6442" w:val="left"/>
                <w:tab w:pos="6766" w:val="left"/>
                <w:tab w:pos="6926" w:val="left"/>
                <w:tab w:pos="6962" w:val="left"/>
              </w:tabs>
              <w:autoSpaceDE w:val="0"/>
              <w:widowControl/>
              <w:spacing w:line="756" w:lineRule="exact" w:before="0" w:after="0"/>
              <w:ind w:left="424" w:right="144" w:firstLine="0"/>
              <w:jc w:val="left"/>
            </w:pP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>3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 obsluze některých   zařízení je požadována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zvláštní odborná způsobilost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(§ 11 zákona č. 309/2006 Sb.)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§ 9/6 zákona č. 309/2006 Sb.,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Zvláštní odborná způsobilost </w:t>
            </w:r>
          </w:p>
          <w:p>
            <w:pPr>
              <w:autoSpaceDN w:val="0"/>
              <w:tabs>
                <w:tab w:pos="4626" w:val="left"/>
              </w:tabs>
              <w:autoSpaceDE w:val="0"/>
              <w:widowControl/>
              <w:spacing w:line="250" w:lineRule="exact" w:before="526" w:after="0"/>
              <w:ind w:left="100" w:right="64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neprodlené ohlášení každého pracovního úrazu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nadřízenému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poskytnutí součinnosti při objasnění okolností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příčin pracovního úrazu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evidence úrazu a vyhotovení záznamů o úrazu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</w:p>
          <w:p>
            <w:pPr>
              <w:autoSpaceDN w:val="0"/>
              <w:tabs>
                <w:tab w:pos="4626" w:val="left"/>
                <w:tab w:pos="5422" w:val="left"/>
                <w:tab w:pos="6780" w:val="left"/>
                <w:tab w:pos="7474" w:val="left"/>
              </w:tabs>
              <w:autoSpaceDE w:val="0"/>
              <w:widowControl/>
              <w:spacing w:line="450" w:lineRule="exact" w:before="0" w:after="0"/>
              <w:ind w:left="100" w:right="144" w:firstLine="0"/>
              <w:jc w:val="left"/>
            </w:pP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10"/>
              </w:rPr>
              <w:t xml:space="preserve">4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Se zřetelem na četnost a závažnost rizik je nutné,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aby samostatnou částí vstupních školení byla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témata: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elektrických zařízení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zaměstnancům k poskytování první pomoci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poskytnutí první pomoci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tabs>
                <w:tab w:pos="7126" w:val="left"/>
              </w:tabs>
              <w:autoSpaceDE w:val="0"/>
              <w:widowControl/>
              <w:spacing w:line="200" w:lineRule="exact" w:before="0" w:after="0"/>
              <w:ind w:left="462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Zásady bezpečné obsluhy </w:t>
            </w:r>
          </w:p>
          <w:p>
            <w:pPr>
              <w:autoSpaceDN w:val="0"/>
              <w:tabs>
                <w:tab w:pos="4626" w:val="left"/>
                <w:tab w:pos="6422" w:val="left"/>
                <w:tab w:pos="6426" w:val="left"/>
                <w:tab w:pos="6780" w:val="left"/>
              </w:tabs>
              <w:autoSpaceDE w:val="0"/>
              <w:widowControl/>
              <w:spacing w:line="254" w:lineRule="exact" w:before="1106" w:after="0"/>
              <w:ind w:left="100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obsluha elektrických spotřebičů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Kdo nese odpovědnost za pracovní úraz, </w:t>
            </w:r>
            <w:r>
              <w:tab/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vymezení povolených prací s elektrickými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případně nemoc z povolání, za jakých podmínek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zařízeními osobám bez příslušné elektrotechnické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je možné se zprostit odpovědnosti za pracovní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kvalifikace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úraz. Rozsah odškodnění. Účast odborových 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zákaz manipulace s elektrickými zařízeními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organizací.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další zásady BOZP podle převažujících prací</w:t>
            </w:r>
          </w:p>
        </w:tc>
      </w:tr>
      <w:tr>
        <w:trPr>
          <w:trHeight w:hRule="exact" w:val="400"/>
        </w:trPr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8" w:after="0"/>
              <w:ind w:left="0" w:right="410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6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812800</wp:posOffset>
            </wp:positionV>
            <wp:extent cx="7569200" cy="93804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3804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8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