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6"/>
        <w:gridCol w:w="2256"/>
        <w:gridCol w:w="2256"/>
        <w:gridCol w:w="2256"/>
      </w:tblGrid>
      <w:tr>
        <w:trPr>
          <w:trHeight w:hRule="exact" w:val="4768"/>
        </w:trPr>
        <w:tc>
          <w:tcPr>
            <w:tcW w:type="dxa" w:w="119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06"/>
            </w:tblGrid>
            <w:tr>
              <w:trPr>
                <w:trHeight w:hRule="exact" w:val="1210"/>
              </w:trPr>
              <w:tc>
                <w:tcPr>
                  <w:tcW w:type="dxa" w:w="11906"/>
                  <w:tcBorders/>
                  <w:shd w:fill="55585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60" w:val="left"/>
                    </w:tabs>
                    <w:autoSpaceDE w:val="0"/>
                    <w:widowControl/>
                    <w:spacing w:line="274" w:lineRule="auto" w:before="50" w:after="0"/>
                    <w:ind w:left="1564" w:right="144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EFEFEF"/>
                      <w:sz w:val="44"/>
                    </w:rPr>
                    <w:t xml:space="preserve">BEZPEČNOST PRÁCE JE VĚCÍ KAŽDÉHO </w:t>
                  </w:r>
                  <w:r>
                    <w:rPr>
                      <w:rFonts w:ascii="Arial" w:hAnsi="Arial" w:eastAsia="Arial"/>
                      <w:b/>
                      <w:i w:val="0"/>
                      <w:color w:val="EFEFEF"/>
                      <w:sz w:val="44"/>
                    </w:rPr>
                    <w:t>ZAMĚSTNAVATELE A ZAMĚSTNANCE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auto" w:before="0" w:after="0"/>
              <w:ind w:left="576" w:right="2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7D543F"/>
                <w:sz w:val="72"/>
              </w:rPr>
              <w:t xml:space="preserve">VERTIKÁLNÍ KOMUNIKACE </w:t>
            </w:r>
            <w:r>
              <w:rPr>
                <w:rFonts w:ascii="Arial" w:hAnsi="Arial" w:eastAsia="Arial"/>
                <w:b w:val="0"/>
                <w:i w:val="0"/>
                <w:color w:val="7D543F"/>
                <w:sz w:val="72"/>
              </w:rPr>
              <w:t xml:space="preserve">– SPRÁVNÁ PRAXE PŘI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7D543F"/>
                <w:sz w:val="72"/>
              </w:rPr>
              <w:t>PRÁCI NA ŽEBŘÍKU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12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Základní pravidla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0" w:right="10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pro používání žebříků</w:t>
            </w:r>
          </w:p>
        </w:tc>
      </w:tr>
      <w:tr>
        <w:trPr>
          <w:trHeight w:hRule="exact" w:val="2772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44" w:val="left"/>
              </w:tabs>
              <w:autoSpaceDE w:val="0"/>
              <w:widowControl/>
              <w:spacing w:line="264" w:lineRule="auto" w:before="0" w:after="0"/>
              <w:ind w:left="57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2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56" w:after="0"/>
              <w:ind w:left="72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 může být používán jen pro krátkodobé, fyzicky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nenáročné práce při použití jednoduchého nářadí</w:t>
            </w:r>
          </w:p>
          <w:p>
            <w:pPr>
              <w:autoSpaceDN w:val="0"/>
              <w:autoSpaceDE w:val="0"/>
              <w:widowControl/>
              <w:spacing w:line="254" w:lineRule="auto" w:before="148" w:after="0"/>
              <w:ind w:left="726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 musí být postaven na podlaze (terénu) tak,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aby měl dostatečnou stabilitu; musí být zajištěn proti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posunutí, sklouznutí, bočnímu vychýlení, zvrácení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nebo rozevření; oba horní konce bočnic jednoduchých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žebříků se musí bezpečně opírat o svislou plochu,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jakékoli vyrovnávání nerovností terénu pomocí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improvizovaných podložek (cihly, sokly apod.)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zakázáno</w:t>
            </w:r>
          </w:p>
        </w:tc>
      </w:tr>
      <w:tr>
        <w:trPr>
          <w:trHeight w:hRule="exact" w:val="2360"/>
        </w:trPr>
        <w:tc>
          <w:tcPr>
            <w:tcW w:type="dxa" w:w="6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9" w:lineRule="auto" w:before="26" w:after="0"/>
              <w:ind w:left="5616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4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78" w:after="0"/>
              <w:ind w:left="718" w:right="37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žebříky používané pro výstup musí přesahovat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výstupní úroveň minimálně o 1,1 m; přesah žebříku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může nahradit pevná část konstrukce, za kterou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lze spolehlivě uchopit; na přečnívající část žebříku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vystupovat nesmí</w:t>
            </w:r>
          </w:p>
          <w:p>
            <w:pPr>
              <w:autoSpaceDN w:val="0"/>
              <w:autoSpaceDE w:val="0"/>
              <w:widowControl/>
              <w:spacing w:line="262" w:lineRule="auto" w:before="176" w:after="0"/>
              <w:ind w:left="726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volný prostor za příčlemi musí být alespoň 0,18 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 paty žebříku, ze strany přístupu je nutné zachovat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prostor minimálně 0,6 m</w:t>
            </w:r>
          </w:p>
        </w:tc>
      </w:tr>
      <w:tr>
        <w:trPr>
          <w:trHeight w:hRule="exact" w:val="1600"/>
        </w:trPr>
        <w:tc>
          <w:tcPr>
            <w:tcW w:type="dxa" w:w="452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58" w:after="0"/>
              <w:ind w:left="352" w:right="90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Pády z výšek jsou značným rizikem ve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stavebnictví i dalších oborech. Nejedná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se jen o pády z vysokých konstrukcí,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úrazy mohou vznikat při pádu z mnohem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menších výšek, např. ze žebříků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jejich nesprávném použití. Faktorů,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které mohou být příčinou takového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úrazu, je mnoho. Od špatného výběru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žebříku po nedodržení základních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bezpečnostních pravidel pro práce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na žebříku. Technické požadavky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na žebříky jsou uvedeny v normě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ČSN EN 131 Žebříky, rozdělené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několik částí. Bezpečnostní požadavky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na používání žebříků stanoví nařízení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vlády č. 362/2005 Sb., o bližších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požadavcích na bezpečnost a ochranu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zdraví při práci na pracovištích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s nebezpečím pádu z výšky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do hloubky. Následující pravidla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jsou určena pro přenosné žebříky,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 xml:space="preserve">nevztahují se na žebříky používané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9"/>
              </w:rPr>
              <w:t>jako trvalé výstupy.</w:t>
            </w:r>
          </w:p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2" w:after="0"/>
              <w:ind w:left="0" w:right="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5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0" w:after="0"/>
              <w:ind w:left="726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sklon příčlových žebříků jednoduchých i dvojitých (při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rozevření) uváděný ve výše uvedené normě musí být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65°–75°, u žebříků stupadlových 60°–70° od vodorovné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roviny; podle nařízení vlády č. 362/2005 Sb. nesmí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být sklon jednoduchých žebříků menší než 2,5 : 1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(tj. cca 68° od vodorovné roviny)</w:t>
            </w:r>
          </w:p>
        </w:tc>
      </w:tr>
      <w:tr>
        <w:trPr>
          <w:trHeight w:hRule="exact" w:val="11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6</w:t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8" w:after="0"/>
              <w:ind w:left="726" w:right="37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 žebříků výsuvných, víceúčelových a dvojitých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nutné se přesvědčit, že háky, pojistky a další zajišťovací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zařízení jsou funkční a ve správné poloze; žebříky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možné používat pouze v sestavě určené výrobcem</w:t>
            </w:r>
          </w:p>
        </w:tc>
      </w:tr>
      <w:tr>
        <w:trPr>
          <w:trHeight w:hRule="exact" w:val="8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7</w:t>
            </w:r>
          </w:p>
        </w:tc>
        <w:tc>
          <w:tcPr>
            <w:tcW w:type="dxa" w:w="5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6" w:after="0"/>
              <w:ind w:left="734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 výsuvných žebříků musí být zajištěný dostatečný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vzájemný přesah jednotlivých dílů podle návodu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výrobce</w:t>
            </w:r>
          </w:p>
        </w:tc>
      </w:tr>
      <w:tr>
        <w:trPr>
          <w:trHeight w:hRule="exact" w:val="1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5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0" w:after="0"/>
              <w:ind w:left="1152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 xml:space="preserve">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9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70" w:after="0"/>
              <w:ind w:left="726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nesmí být překročeno maximální zatížení žebříků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uvedené výrobcem</w:t>
            </w:r>
          </w:p>
        </w:tc>
      </w:tr>
      <w:tr>
        <w:trPr>
          <w:trHeight w:hRule="exact" w:val="8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8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0" w:after="0"/>
              <w:ind w:left="728" w:right="37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 se nesmí používat jako přechodový můstek –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 výjimkou případů, kdy je k tomu výrobcem výslovně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určen</w:t>
            </w:r>
          </w:p>
        </w:tc>
      </w:tr>
      <w:tr>
        <w:trPr>
          <w:trHeight w:hRule="exact" w:val="1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5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10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6" w:after="0"/>
              <w:ind w:left="71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vizuální prohlídka žebříků se musí provádět při výdeji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ze skladu, jeho příjmu zpět a před každým použitím</w:t>
            </w:r>
          </w:p>
        </w:tc>
      </w:tr>
      <w:tr>
        <w:trPr>
          <w:trHeight w:hRule="exact" w:val="38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3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32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3550" cy="303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4" w:after="0"/>
              <w:ind w:left="0" w:right="410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32"/>
        </w:trPr>
        <w:tc>
          <w:tcPr>
            <w:tcW w:type="dxa" w:w="2256"/>
            <w:vMerge/>
            <w:tcBorders/>
          </w:tcPr>
          <w:p/>
        </w:tc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58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231F2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2476500</wp:posOffset>
            </wp:positionV>
            <wp:extent cx="7569200" cy="757555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5755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13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02871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0287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EFEFEF"/>
          <w:sz w:val="44"/>
        </w:rPr>
        <w:t xml:space="preserve">BEZPEČNOST PRÁCE JE VĚCÍ KAŽDÉHO </w:t>
      </w:r>
    </w:p>
    <w:p>
      <w:pPr>
        <w:autoSpaceDN w:val="0"/>
        <w:autoSpaceDE w:val="0"/>
        <w:widowControl/>
        <w:spacing w:line="300" w:lineRule="auto" w:before="0" w:after="0"/>
        <w:ind w:left="1548" w:right="0" w:firstLine="0"/>
        <w:jc w:val="left"/>
      </w:pPr>
      <w:r>
        <w:rPr>
          <w:rFonts w:ascii="Arial" w:hAnsi="Arial" w:eastAsia="Arial"/>
          <w:b/>
          <w:i w:val="0"/>
          <w:color w:val="EFEFEF"/>
          <w:sz w:val="44"/>
        </w:rPr>
        <w:t>ZAMĚSTNAVATELE A ZAMĚSTNANCE</w:t>
      </w:r>
    </w:p>
    <w:p>
      <w:pPr>
        <w:autoSpaceDN w:val="0"/>
        <w:autoSpaceDE w:val="0"/>
        <w:widowControl/>
        <w:spacing w:line="264" w:lineRule="auto" w:before="28" w:after="620"/>
        <w:ind w:left="144" w:right="20" w:firstLine="0"/>
        <w:jc w:val="right"/>
      </w:pPr>
      <w:r>
        <w:rPr>
          <w:rFonts w:ascii="Arial" w:hAnsi="Arial" w:eastAsia="Arial"/>
          <w:b w:val="0"/>
          <w:i w:val="0"/>
          <w:color w:val="7D543F"/>
          <w:sz w:val="72"/>
        </w:rPr>
        <w:t xml:space="preserve">VERTIKÁLNÍ KOMUNIKACE </w:t>
      </w:r>
      <w:r>
        <w:rPr>
          <w:rFonts w:ascii="Arial" w:hAnsi="Arial" w:eastAsia="Arial"/>
          <w:b w:val="0"/>
          <w:i w:val="0"/>
          <w:color w:val="7D543F"/>
          <w:sz w:val="72"/>
        </w:rPr>
        <w:t xml:space="preserve">– VÝSTUPY, SESTUPY </w:t>
      </w:r>
      <w:r>
        <w:br/>
      </w:r>
      <w:r>
        <w:rPr>
          <w:rFonts w:ascii="Arial" w:hAnsi="Arial" w:eastAsia="Arial"/>
          <w:b w:val="0"/>
          <w:i w:val="0"/>
          <w:color w:val="7D543F"/>
          <w:sz w:val="72"/>
        </w:rPr>
        <w:t>A PRÁCE NA ŽEBŘÍKU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05"/>
        <w:gridCol w:w="2805"/>
        <w:gridCol w:w="2805"/>
        <w:gridCol w:w="2805"/>
      </w:tblGrid>
      <w:tr>
        <w:trPr>
          <w:trHeight w:hRule="exact" w:val="896"/>
        </w:trPr>
        <w:tc>
          <w:tcPr>
            <w:tcW w:type="dxa" w:w="4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368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Výběr žebříku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10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výstupu, sestupu a práci na žebříku musí být pracovník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otočen čelem k žebříku a musí mít možnost přidržet se oběma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rukama</w:t>
            </w:r>
          </w:p>
        </w:tc>
      </w:tr>
      <w:tr>
        <w:trPr>
          <w:trHeight w:hRule="exact" w:val="92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10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 žebřík smí vystupovat, sestupovat a pracovat na něm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pouze jedna osoba; současná práce více osob nad sebou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je zakázána</w:t>
            </w:r>
          </w:p>
        </w:tc>
      </w:tr>
      <w:tr>
        <w:trPr>
          <w:trHeight w:hRule="exact" w:val="94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0" w:after="0"/>
              <w:ind w:left="96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pracovník se nesmí při práci na žebříku vyklánět stranou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vzad; vzhledem ke změně těžiště pracovníka může dojít ke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ztrátě jeho stability a k pádu</w:t>
            </w:r>
          </w:p>
        </w:tc>
      </w:tr>
      <w:tr>
        <w:trPr>
          <w:trHeight w:hRule="exact" w:val="142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4" w:after="0"/>
              <w:ind w:left="116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 žebříku se nesmí vynášet a snášet břemeno o hmotnosti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nad 15 kg, pomocný materiál, nářadí, případně jiné pomůcky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potřebné k práci musí být v brašně, v opasku k tomu určeném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nebo upevněné na žebříku tak, aby nedošlo ke ztrátě stability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žebříku nebo pracovníka</w:t>
            </w:r>
          </w:p>
        </w:tc>
      </w:tr>
      <w:tr>
        <w:trPr>
          <w:trHeight w:hRule="exact" w:val="1060"/>
        </w:trPr>
        <w:tc>
          <w:tcPr>
            <w:tcW w:type="dxa" w:w="45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9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výběru žebříku je nutné vycházet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 toho, k jakému účelu a za jakých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podmínek má žebřík sloužit. Podle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použití je možné rozdělit tyto výrobky do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dvou základních kategorií – profesionální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žebříky vystavené častému namáhání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(např. pro řemeslníky) a žebříky pro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tzv. hobby využití. Rovněž je nutné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uvážit výběr podle materiálu (dřevěné,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ocelové, hliníkové nebo plastové) a typu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(příčlové žebříky – jednoduché opěrné,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nástavné, výsuvné, víceúčelové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dvojité a žebříky stupadlové opěrné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dvojité, jedno- nebo oboustranně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výstupné). Všechny typy musí odpovídat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výše uvedeným normám, liší se však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možnostmi použití. I když existují značně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dlouhé žebříky, je třeba uvážit, zda pro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některé práce nebude vhodnější použít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lehké pojízdné lešení.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2" w:after="0"/>
              <w:ind w:left="162" w:right="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 žebříku se nesmějí provádět práce, při nichž se používá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nebezpečných nástrojů, např. přenosných řetězových pil,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ručního pneumatického nářadí apod.</w:t>
            </w:r>
          </w:p>
        </w:tc>
      </w:tr>
      <w:tr>
        <w:trPr>
          <w:trHeight w:hRule="exact" w:val="126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0" w:after="0"/>
              <w:ind w:left="102" w:right="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práci na žebříku musí pracovník stát v bezpečné vzdálenosti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od jeho horního konce, tzn. u jednoduchých žebříků minimálně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0,8 m a u žebříků dvojitých 0,5 m od konce žebříku; vždy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nutné respektovat návod výrobce</w:t>
            </w:r>
          </w:p>
        </w:tc>
      </w:tr>
      <w:tr>
        <w:trPr>
          <w:trHeight w:hRule="exact" w:val="82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2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při práci na žebříku, kdy je pracovník chodidly ve výšce větší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než 5 m, musí používat osobní ochranné zajištění proti pádu</w:t>
            </w:r>
          </w:p>
        </w:tc>
      </w:tr>
      <w:tr>
        <w:trPr>
          <w:trHeight w:hRule="exact" w:val="102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6" w:after="0"/>
              <w:ind w:left="102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přenosné dřevěné žebříky o délce větší než 12 m nelze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používat, z hlediska obtížné manipulace je potřeba reálnou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délku dřevěného žebříku zvolit mnohem menší</w:t>
            </w:r>
          </w:p>
        </w:tc>
      </w:tr>
      <w:tr>
        <w:trPr>
          <w:trHeight w:hRule="exact" w:val="940"/>
        </w:trPr>
        <w:tc>
          <w:tcPr>
            <w:tcW w:type="dxa" w:w="280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6" w:after="0"/>
              <w:ind w:left="106" w:right="5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prostor pod žebříkem, na kterém se provádí práce, musí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být zajištěný, pro krátkodobé práce obvykle postačí střežení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ohroženého prostoru odpovědným pracovníkem</w:t>
            </w:r>
          </w:p>
        </w:tc>
      </w:tr>
      <w:tr>
        <w:trPr>
          <w:trHeight w:hRule="exact" w:val="1860"/>
        </w:trPr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94" w:after="0"/>
              <w:ind w:left="0" w:right="9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Informace o správném používání žebříků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mají být umístěny na žebříku ve formě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piktogramů. Pokyny a zákazy vyplývající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 piktogramů nebo z návodu výrobce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nutné vždy dodržovat.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0" w:after="0"/>
              <w:ind w:left="0" w:right="78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6" w:after="0"/>
              <w:ind w:left="96" w:right="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zaměstnavatel zajistí provádění prohlídek žebříků v souladu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 návodem na používání; kromě vizuální prohlídky před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každým použitím je vhodné v pravidelných intervalech, např.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jednou ročně, prověřit funkčnost žebříku a jeho součástí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učinit o tom záznam</w:t>
            </w:r>
          </w:p>
        </w:tc>
      </w:tr>
      <w:tr>
        <w:trPr>
          <w:trHeight w:hRule="exact" w:val="670"/>
        </w:trPr>
        <w:tc>
          <w:tcPr>
            <w:tcW w:type="dxa" w:w="45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8" w:after="0"/>
              <w:ind w:left="28" w:right="0" w:firstLine="0"/>
              <w:jc w:val="lef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  <w:tc>
          <w:tcPr>
            <w:tcW w:type="dxa" w:w="2805"/>
            <w:vMerge/>
            <w:tcBorders/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3550" cy="3035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" cy="30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83" w:lineRule="auto" w:before="10" w:after="0"/>
        <w:ind w:left="1118" w:right="0" w:firstLine="0"/>
        <w:jc w:val="left"/>
      </w:pPr>
      <w:r>
        <w:rPr>
          <w:rFonts w:ascii="ArialMT" w:hAnsi="ArialMT" w:eastAsia="ArialMT"/>
          <w:b w:val="0"/>
          <w:i w:val="0"/>
          <w:color w:val="231F20"/>
          <w:sz w:val="16"/>
        </w:rPr>
        <w:t>Vydáno 2021</w:t>
      </w:r>
    </w:p>
    <w:sectPr w:rsidR="00FC693F" w:rsidRPr="0006063C" w:rsidSect="00034616">
      <w:pgSz w:w="11906" w:h="16838"/>
      <w:pgMar w:top="24" w:right="272" w:bottom="110" w:left="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