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26"/>
      </w:tblGrid>
      <w:tr>
        <w:trPr>
          <w:trHeight w:hRule="exact" w:val="1210"/>
        </w:trPr>
        <w:tc>
          <w:tcPr>
            <w:tcW w:type="dxa" w:w="11906"/>
            <w:tcBorders/>
            <w:shd w:fill="55585a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36" w:val="left"/>
              </w:tabs>
              <w:autoSpaceDE w:val="0"/>
              <w:widowControl/>
              <w:spacing w:line="245" w:lineRule="auto" w:before="50" w:after="0"/>
              <w:ind w:left="1790" w:right="158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 xml:space="preserve">БЕЗПЕКА ПРАЦІ – СПРАВА КОЖНОГО </w:t>
            </w:r>
            <w:r>
              <w:rPr>
                <w:rFonts w:ascii="Arial" w:hAnsi="Arial" w:eastAsia="Arial"/>
                <w:b/>
                <w:i w:val="0"/>
                <w:color w:val="EFEFEF"/>
                <w:sz w:val="44"/>
              </w:rPr>
              <w:t>РОБОТОДАВЦЯ ТА ПРАЦІВНИКА</w:t>
            </w:r>
          </w:p>
        </w:tc>
      </w:tr>
    </w:tbl>
    <w:p>
      <w:pPr>
        <w:autoSpaceDN w:val="0"/>
        <w:tabs>
          <w:tab w:pos="1072" w:val="left"/>
          <w:tab w:pos="2312" w:val="left"/>
        </w:tabs>
        <w:autoSpaceDE w:val="0"/>
        <w:widowControl/>
        <w:spacing w:line="245" w:lineRule="auto" w:before="8" w:after="0"/>
        <w:ind w:left="1022" w:right="1152" w:firstLine="0"/>
        <w:jc w:val="left"/>
      </w:pPr>
      <w:r>
        <w:tab/>
      </w:r>
      <w:r>
        <w:tab/>
      </w:r>
      <w:r>
        <w:rPr>
          <w:rFonts w:ascii="Arial" w:hAnsi="Arial" w:eastAsia="Arial"/>
          <w:b w:val="0"/>
          <w:i w:val="0"/>
          <w:color w:val="629A41"/>
          <w:sz w:val="72"/>
        </w:rPr>
        <w:t xml:space="preserve">ЗЕМЛЯНІ РОБОТИ </w:t>
      </w:r>
      <w:r>
        <w:rPr>
          <w:rFonts w:ascii="Arial" w:hAnsi="Arial" w:eastAsia="Arial"/>
          <w:b w:val="0"/>
          <w:i w:val="0"/>
          <w:color w:val="629A41"/>
          <w:sz w:val="36"/>
        </w:rPr>
        <w:t xml:space="preserve">ПОПЕРЕДЖЕННЯ НЕЩАСНИХ ВИПАДКІВ НА </w:t>
      </w:r>
      <w:r>
        <w:rPr>
          <w:rFonts w:ascii="Arial" w:hAnsi="Arial" w:eastAsia="Arial"/>
          <w:b w:val="0"/>
          <w:i w:val="0"/>
          <w:color w:val="629A41"/>
          <w:sz w:val="36"/>
        </w:rPr>
        <w:t>ВИРОБНИЦТВІ І НАДЗВИЧАЙНИХ СИТУАЦІЙ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</wp:posOffset>
            </wp:positionH>
            <wp:positionV relativeFrom="page">
              <wp:posOffset>1511300</wp:posOffset>
            </wp:positionV>
            <wp:extent cx="7531100" cy="860515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86051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4" w:lineRule="auto" w:before="182" w:after="0"/>
        <w:ind w:left="1518" w:right="1522" w:firstLine="0"/>
        <w:jc w:val="both"/>
      </w:pPr>
      <w:r>
        <w:rPr>
          <w:rFonts w:ascii="ArialMT" w:hAnsi="ArialMT" w:eastAsia="ArialMT"/>
          <w:b w:val="0"/>
          <w:i w:val="0"/>
          <w:color w:val="FFFFFF"/>
          <w:sz w:val="20"/>
        </w:rPr>
        <w:t xml:space="preserve">Земляні роботи належать до тих будівельних робіт, де можливі травми часто закінчуються </w:t>
      </w:r>
      <w:r>
        <w:rPr>
          <w:rFonts w:ascii="ArialMT" w:hAnsi="ArialMT" w:eastAsia="ArialMT"/>
          <w:b w:val="0"/>
          <w:i w:val="0"/>
          <w:color w:val="FFFFFF"/>
          <w:sz w:val="20"/>
        </w:rPr>
        <w:t xml:space="preserve">серйозною шкодою здоров’ю або смертю. Коли працівник засипаний ґрунтом, його тиск </w:t>
      </w:r>
      <w:r>
        <w:rPr>
          <w:rFonts w:ascii="ArialMT" w:hAnsi="ArialMT" w:eastAsia="ArialMT"/>
          <w:b w:val="0"/>
          <w:i w:val="0"/>
          <w:color w:val="FFFFFF"/>
          <w:sz w:val="20"/>
        </w:rPr>
        <w:t xml:space="preserve">настільки великий, що артерії та вени в тілі стискаються, і навіть якщо врятована людина </w:t>
      </w:r>
      <w:r>
        <w:rPr>
          <w:rFonts w:ascii="ArialMT" w:hAnsi="ArialMT" w:eastAsia="ArialMT"/>
          <w:b w:val="0"/>
          <w:i w:val="0"/>
          <w:color w:val="FFFFFF"/>
          <w:sz w:val="20"/>
        </w:rPr>
        <w:t xml:space="preserve">відносно не постраждала, може вийти кров або жировий згусток із пізнішими наслідками </w:t>
      </w:r>
      <w:r>
        <w:rPr>
          <w:rFonts w:ascii="ArialMT" w:hAnsi="ArialMT" w:eastAsia="ArialMT"/>
          <w:b w:val="0"/>
          <w:i w:val="0"/>
          <w:color w:val="FFFFFF"/>
          <w:sz w:val="20"/>
        </w:rPr>
        <w:t xml:space="preserve">(емболією). У зв’язку з тим, що ґрунт часто дуже непостійний і неможливо визначити точні </w:t>
      </w:r>
      <w:r>
        <w:rPr>
          <w:rFonts w:ascii="ArialMT" w:hAnsi="ArialMT" w:eastAsia="ArialMT"/>
          <w:b w:val="0"/>
          <w:i w:val="0"/>
          <w:color w:val="FFFFFF"/>
          <w:sz w:val="20"/>
        </w:rPr>
        <w:t xml:space="preserve">вимоги до його закріплення, велике значення приділяється кваліфікації та досвіду робітника, </w:t>
      </w:r>
      <w:r>
        <w:rPr>
          <w:rFonts w:ascii="ArialMT" w:hAnsi="ArialMT" w:eastAsia="ArialMT"/>
          <w:b w:val="0"/>
          <w:i w:val="0"/>
          <w:color w:val="FFFFFF"/>
          <w:sz w:val="20"/>
        </w:rPr>
        <w:t xml:space="preserve">який керує земляними роботами. На безпечне виконання земляних робіт може суттєво </w:t>
      </w:r>
      <w:r>
        <w:rPr>
          <w:rFonts w:ascii="ArialMT" w:hAnsi="ArialMT" w:eastAsia="ArialMT"/>
          <w:b w:val="0"/>
          <w:i w:val="0"/>
          <w:color w:val="FFFFFF"/>
          <w:sz w:val="20"/>
        </w:rPr>
        <w:t>вплинути добре опрацьована проектна документація.</w:t>
      </w:r>
    </w:p>
    <w:p>
      <w:pPr>
        <w:autoSpaceDN w:val="0"/>
        <w:autoSpaceDE w:val="0"/>
        <w:widowControl/>
        <w:spacing w:line="242" w:lineRule="auto" w:before="114" w:after="72"/>
        <w:ind w:left="0" w:right="4280" w:firstLine="0"/>
        <w:jc w:val="right"/>
      </w:pPr>
      <w:r>
        <w:rPr>
          <w:rFonts w:ascii="Arial" w:hAnsi="Arial" w:eastAsia="Arial"/>
          <w:b/>
          <w:i w:val="0"/>
          <w:color w:val="FFFFFF"/>
          <w:sz w:val="32"/>
        </w:rPr>
        <w:t>Підготовчі роботи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0.0" w:type="dxa"/>
      </w:tblPr>
      <w:tblGrid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  <w:gridCol w:w="903"/>
      </w:tblGrid>
      <w:tr>
        <w:trPr>
          <w:trHeight w:hRule="exact" w:val="81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 xml:space="preserve"> </w:t>
            </w:r>
          </w:p>
        </w:tc>
        <w:tc>
          <w:tcPr>
            <w:tcW w:type="dxa" w:w="54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56" w:val="left"/>
                <w:tab w:pos="2536" w:val="left"/>
                <w:tab w:pos="3620" w:val="left"/>
              </w:tabs>
              <w:autoSpaceDE w:val="0"/>
              <w:widowControl/>
              <w:spacing w:line="286" w:lineRule="auto" w:before="6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позначити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маршрути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технічної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інфраструктури, </w:t>
            </w:r>
          </w:p>
          <w:p>
            <w:pPr>
              <w:autoSpaceDN w:val="0"/>
              <w:tabs>
                <w:tab w:pos="1356" w:val="left"/>
                <w:tab w:pos="2098" w:val="left"/>
                <w:tab w:pos="3926" w:val="left"/>
                <w:tab w:pos="4442" w:val="left"/>
              </w:tabs>
              <w:autoSpaceDE w:val="0"/>
              <w:widowControl/>
              <w:spacing w:line="286" w:lineRule="auto" w:before="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особливо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ліній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електропередач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та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зв'язку,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1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водопровідних та каналізаційних мереж та ін.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4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40" w:val="left"/>
                <w:tab w:pos="1736" w:val="left"/>
                <w:tab w:pos="3090" w:val="left"/>
                <w:tab w:pos="4252" w:val="left"/>
              </w:tabs>
              <w:autoSpaceDE w:val="0"/>
              <w:widowControl/>
              <w:spacing w:line="286" w:lineRule="auto" w:before="60" w:after="0"/>
              <w:ind w:left="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переходи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на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будівельній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площадці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зводять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 глибини котловану 0,5 м. і шириною 0,75 м.; для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ровів до 1,5 м достатньо перила з одного боку, для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більш глибших - двосторонні перила </w:t>
            </w:r>
          </w:p>
        </w:tc>
      </w:tr>
      <w:tr>
        <w:trPr>
          <w:trHeight w:hRule="exact" w:val="258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6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24" w:after="0"/>
              <w:ind w:left="160" w:right="25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визначити розташування та розміри котлованів,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способи видобутку ґрунту, забезпечення стійкості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стін виїмки, типи обшивки, укоси схилів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14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</w:tr>
      <w:tr>
        <w:trPr>
          <w:trHeight w:hRule="exact" w:val="519"/>
        </w:trPr>
        <w:tc>
          <w:tcPr>
            <w:tcW w:type="dxa" w:w="903"/>
            <w:vMerge/>
            <w:tcBorders/>
          </w:tcPr>
          <w:p/>
        </w:tc>
        <w:tc>
          <w:tcPr>
            <w:tcW w:type="dxa" w:w="5418"/>
            <w:gridSpan w:val="6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8" w:after="0"/>
              <w:ind w:left="88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несуча здатність переходів має відповідати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передбачуваному навантаженню </w:t>
            </w:r>
          </w:p>
        </w:tc>
      </w:tr>
      <w:tr>
        <w:trPr>
          <w:trHeight w:hRule="exact" w:val="263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враховувати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відповідні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заходи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процедурах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8" w:after="0"/>
              <w:ind w:left="88" w:right="36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краї котловану не повинні бути навантажені на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відстані 0,5 м. від краю, поверхня місцевості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 межах зазначеного в документації діапазону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зсувного клина не повинна бути навантажена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конструкцією, будинком, технікою або матеріалом</w:t>
            </w:r>
          </w:p>
        </w:tc>
      </w:tr>
      <w:tr>
        <w:trPr>
          <w:trHeight w:hRule="exact" w:val="282"/>
        </w:trPr>
        <w:tc>
          <w:tcPr>
            <w:tcW w:type="dxa" w:w="57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8" w:after="0"/>
              <w:ind w:left="5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виконання робіт, якщо земляні роботи сягають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70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</w:tr>
      <w:tr>
        <w:trPr>
          <w:trHeight w:hRule="exact" w:val="266"/>
        </w:trPr>
        <w:tc>
          <w:tcPr>
            <w:tcW w:type="dxa" w:w="578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5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нижче рівня поверхневих або підземних вод 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</w:tr>
      <w:tr>
        <w:trPr>
          <w:trHeight w:hRule="exact" w:val="458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162" w:right="362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перед початком земляних робіт розмітити  усі лінії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або інші підземні перешкоди позиційно та, якщо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необхідно, по висоті на землі 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</w:tr>
      <w:tr>
        <w:trPr>
          <w:trHeight w:hRule="exact" w:val="274"/>
        </w:trPr>
        <w:tc>
          <w:tcPr>
            <w:tcW w:type="dxa" w:w="903"/>
            <w:vMerge/>
            <w:tcBorders/>
          </w:tcPr>
          <w:p/>
        </w:tc>
        <w:tc>
          <w:tcPr>
            <w:tcW w:type="dxa" w:w="5418"/>
            <w:gridSpan w:val="6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" w:after="0"/>
              <w:ind w:left="86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роботи з глибини 1,3 м не можна проводити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самостійно на віддалених робочих місцях </w:t>
            </w:r>
          </w:p>
        </w:tc>
      </w:tr>
      <w:tr>
        <w:trPr>
          <w:trHeight w:hRule="exact" w:val="262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6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2" w:val="left"/>
                <w:tab w:pos="2156" w:val="left"/>
                <w:tab w:pos="2864" w:val="left"/>
                <w:tab w:pos="3816" w:val="left"/>
              </w:tabs>
              <w:autoSpaceDE w:val="0"/>
              <w:widowControl/>
              <w:spacing w:line="257" w:lineRule="auto" w:before="40" w:after="0"/>
              <w:ind w:left="16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перед початком робіт оператори машин та інші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фізичні особи, які будуть виконувати земляні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роботи,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повинні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бути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наочно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ознайомлені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охоронними зонами, підземними перешкодами та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умовами проведення підземних робіт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6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</w:tr>
      <w:tr>
        <w:trPr>
          <w:trHeight w:hRule="exact" w:val="1018"/>
        </w:trPr>
        <w:tc>
          <w:tcPr>
            <w:tcW w:type="dxa" w:w="903"/>
            <w:vMerge/>
            <w:tcBorders/>
          </w:tcPr>
          <w:p/>
        </w:tc>
        <w:tc>
          <w:tcPr>
            <w:tcW w:type="dxa" w:w="5418"/>
            <w:gridSpan w:val="6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0" w:val="left"/>
                <w:tab w:pos="2144" w:val="left"/>
                <w:tab w:pos="3348" w:val="left"/>
                <w:tab w:pos="4226" w:val="left"/>
              </w:tabs>
              <w:autoSpaceDE w:val="0"/>
              <w:widowControl/>
              <w:spacing w:line="283" w:lineRule="auto" w:before="18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вертикальні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стіни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викопаних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вручну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виїмок 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необхідно закріпити настилом з глибини 1,3 м. 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у забудованій зоні та 1,5 м. у незабудованій зоні </w:t>
            </w:r>
          </w:p>
        </w:tc>
      </w:tr>
      <w:tr>
        <w:trPr>
          <w:trHeight w:hRule="exact" w:val="56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 xml:space="preserve"> </w:t>
            </w:r>
          </w:p>
        </w:tc>
        <w:tc>
          <w:tcPr>
            <w:tcW w:type="dxa" w:w="54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6" w:after="0"/>
              <w:ind w:left="162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будівлі, що стоять поруч, також повинні бути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захищені до початку робіт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0" w:right="7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0" w:after="0"/>
              <w:ind w:left="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обшивка котловану повинна бути спроектована та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виготовлена таким чином, щоб надійно поглинати </w:t>
            </w:r>
          </w:p>
          <w:p>
            <w:pPr>
              <w:autoSpaceDN w:val="0"/>
              <w:tabs>
                <w:tab w:pos="730" w:val="left"/>
                <w:tab w:pos="1634" w:val="left"/>
                <w:tab w:pos="3254" w:val="left"/>
                <w:tab w:pos="4232" w:val="left"/>
              </w:tabs>
              <w:autoSpaceDE w:val="0"/>
              <w:widowControl/>
              <w:spacing w:line="286" w:lineRule="auto" w:before="0" w:after="0"/>
              <w:ind w:left="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тиск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ґрунту,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забезпечувати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безпеку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людей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у ньому, запобігати обваленню та зсувів</w:t>
            </w:r>
          </w:p>
        </w:tc>
      </w:tr>
      <w:tr>
        <w:trPr>
          <w:trHeight w:hRule="exact" w:val="578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2" w:after="0"/>
              <w:ind w:left="160" w:right="36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 населених пунктах, громадських місцях краї ровів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та котлованів, де існує ризик впасти туди, повинні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бути закриті та належним чином закріплені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70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</w:tr>
      <w:tr>
        <w:trPr>
          <w:trHeight w:hRule="exact" w:val="422"/>
        </w:trPr>
        <w:tc>
          <w:tcPr>
            <w:tcW w:type="dxa" w:w="903"/>
            <w:vMerge/>
            <w:tcBorders/>
          </w:tcPr>
          <w:p/>
        </w:tc>
        <w:tc>
          <w:tcPr>
            <w:tcW w:type="dxa" w:w="5418"/>
            <w:gridSpan w:val="6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34" w:after="0"/>
              <w:ind w:left="88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ручні копки, які вводяться робітниками, повинні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мати ширину не менше 80 сантиметрів </w:t>
            </w:r>
          </w:p>
        </w:tc>
      </w:tr>
      <w:tr>
        <w:trPr>
          <w:trHeight w:hRule="exact" w:val="238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244" w:after="0"/>
              <w:ind w:left="160" w:right="366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краї котловану закріпити поручнями або бар’єром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(бар’єр — це природна або штучна перешкода, що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обмежує або розділяє територію, призначену для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пересування людей або транспортних засобів або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перешкоджає цьому переміщенню)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8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</w:tr>
      <w:tr>
        <w:trPr>
          <w:trHeight w:hRule="exact" w:val="762"/>
        </w:trPr>
        <w:tc>
          <w:tcPr>
            <w:tcW w:type="dxa" w:w="903"/>
            <w:vMerge/>
            <w:tcBorders/>
          </w:tcPr>
          <w:p/>
        </w:tc>
        <w:tc>
          <w:tcPr>
            <w:tcW w:type="dxa" w:w="5418"/>
            <w:gridSpan w:val="6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" w:after="0"/>
              <w:ind w:left="88" w:right="36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при роботі на схилах з ухилом більше 1:1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і висотою понад 3 м. необхідно вжити заходів для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запобігання ковзанню робітників або матеріалу</w:t>
            </w:r>
          </w:p>
        </w:tc>
      </w:tr>
      <w:tr>
        <w:trPr>
          <w:trHeight w:hRule="exact" w:val="600"/>
        </w:trPr>
        <w:tc>
          <w:tcPr>
            <w:tcW w:type="dxa" w:w="903"/>
            <w:vMerge/>
            <w:tcBorders/>
          </w:tcPr>
          <w:p/>
        </w:tc>
        <w:tc>
          <w:tcPr>
            <w:tcW w:type="dxa" w:w="5418"/>
            <w:gridSpan w:val="6"/>
            <w:vMerge/>
            <w:tcBorders/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26" w:after="0"/>
              <w:ind w:left="88" w:right="36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частково відкриті трубопроводи під час земляних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робіт, повинні бути належним чином закріплені,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трубопроводи в стіні повинні бути захищені від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переміщення, згинання або від'єднання</w:t>
            </w:r>
          </w:p>
        </w:tc>
      </w:tr>
      <w:tr>
        <w:trPr>
          <w:trHeight w:hRule="exact" w:val="430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0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46" w:after="0"/>
              <w:ind w:left="162" w:right="36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бар'єром на відстані не менше 1,5 м. від краю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котловану вважається перила висотою 1,1 м.,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помітна перешкода висотою не менше 0,6 м .або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виїмка висотою 0,9 м.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88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</w:tr>
      <w:tr>
        <w:trPr>
          <w:trHeight w:hRule="exact" w:val="710"/>
        </w:trPr>
        <w:tc>
          <w:tcPr>
            <w:tcW w:type="dxa" w:w="903"/>
            <w:vMerge/>
            <w:tcBorders/>
          </w:tcPr>
          <w:p/>
        </w:tc>
        <w:tc>
          <w:tcPr>
            <w:tcW w:type="dxa" w:w="5418"/>
            <w:gridSpan w:val="6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12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більші валуни, залишки будівельних конструкцій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або незв'язні матеріали в стінках котлованів, які </w:t>
            </w:r>
          </w:p>
          <w:p>
            <w:pPr>
              <w:autoSpaceDN w:val="0"/>
              <w:tabs>
                <w:tab w:pos="984" w:val="left"/>
                <w:tab w:pos="2214" w:val="left"/>
                <w:tab w:pos="2928" w:val="left"/>
                <w:tab w:pos="3414" w:val="left"/>
                <w:tab w:pos="4140" w:val="left"/>
              </w:tabs>
              <w:autoSpaceDE w:val="0"/>
              <w:widowControl/>
              <w:spacing w:line="286" w:lineRule="auto" w:before="0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можуть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вивільнити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ґрунт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під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своїм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тиском, 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необхідно захистити або видалити </w:t>
            </w:r>
          </w:p>
        </w:tc>
      </w:tr>
      <w:tr>
        <w:trPr>
          <w:trHeight w:hRule="exact" w:val="308"/>
        </w:trPr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4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28" w:val="left"/>
                <w:tab w:pos="2458" w:val="left"/>
                <w:tab w:pos="3712" w:val="left"/>
              </w:tabs>
              <w:autoSpaceDE w:val="0"/>
              <w:widowControl/>
              <w:spacing w:line="259" w:lineRule="auto" w:before="22" w:after="0"/>
              <w:ind w:left="16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переїзди в місцях та доріг загального користування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повинні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відповідати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пропускній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спроможності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даному транспорту, переїзди шириною не менше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1,5 м. повинні мати двосторонні перила з упором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8" w:after="0"/>
              <w:ind w:left="0" w:right="66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 xml:space="preserve"> </w:t>
            </w:r>
          </w:p>
        </w:tc>
        <w:tc>
          <w:tcPr>
            <w:tcW w:type="dxa" w:w="1806"/>
            <w:gridSpan w:val="2"/>
            <w:vMerge/>
            <w:tcBorders/>
          </w:tcPr>
          <w:p/>
        </w:tc>
      </w:tr>
      <w:tr>
        <w:trPr>
          <w:trHeight w:hRule="exact" w:val="712"/>
        </w:trPr>
        <w:tc>
          <w:tcPr>
            <w:tcW w:type="dxa" w:w="903"/>
            <w:vMerge/>
            <w:tcBorders/>
          </w:tcPr>
          <w:p/>
        </w:tc>
        <w:tc>
          <w:tcPr>
            <w:tcW w:type="dxa" w:w="5418"/>
            <w:gridSpan w:val="6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52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" w:after="0"/>
              <w:ind w:left="88" w:right="36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під час призупинення земляних робіт підрядник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забезпечує необхідне технічне обслуговування </w:t>
            </w: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огороджень, перил, обшивки, переходів та інш. </w:t>
            </w:r>
          </w:p>
          <w:p>
            <w:pPr>
              <w:autoSpaceDN w:val="0"/>
              <w:autoSpaceDE w:val="0"/>
              <w:widowControl/>
              <w:spacing w:line="283" w:lineRule="auto" w:before="0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для безпеки робочого місця та оточення</w:t>
            </w:r>
          </w:p>
        </w:tc>
      </w:tr>
      <w:tr>
        <w:trPr>
          <w:trHeight w:hRule="exact" w:val="420"/>
        </w:trPr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0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  <w:tc>
          <w:tcPr>
            <w:tcW w:type="dxa" w:w="54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20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забезпечити безпечний спуск до котловану </w:t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1806"/>
            <w:gridSpan w:val="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0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800" cy="304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76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" w:after="0"/>
              <w:ind w:left="29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64820" cy="3022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" cy="302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3"/>
            <w:vMerge/>
            <w:tcBorders/>
          </w:tcPr>
          <w:p/>
        </w:tc>
        <w:tc>
          <w:tcPr>
            <w:tcW w:type="dxa" w:w="5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62" w:after="0"/>
              <w:ind w:left="0" w:right="232" w:firstLine="0"/>
              <w:jc w:val="right"/>
            </w:pPr>
            <w:r>
              <w:rPr>
                <w:u w:val="single" w:color="1e5d9e"/>
                <w:rFonts w:ascii="ArialMT" w:hAnsi="ArialMT" w:eastAsia="ArialMT"/>
                <w:b w:val="0"/>
                <w:i w:val="0"/>
                <w:color w:val="1E5E9E"/>
                <w:sz w:val="20"/>
              </w:rPr>
              <w:hyperlink r:id="rId11" w:history="1">
                <w:r>
                  <w:rPr>
                    <w:rStyle w:val="Hyperlink"/>
                  </w:rPr>
                  <w:t>https://vubp.cz/infomaterialy-bozp</w:t>
                </w:r>
              </w:hyperlink>
            </w:r>
          </w:p>
        </w:tc>
      </w:tr>
      <w:tr>
        <w:trPr>
          <w:trHeight w:hRule="exact" w:val="284"/>
        </w:trPr>
        <w:tc>
          <w:tcPr>
            <w:tcW w:type="dxa" w:w="1806"/>
            <w:gridSpan w:val="2"/>
            <w:vMerge/>
            <w:tcBorders/>
          </w:tcPr>
          <w:p/>
        </w:tc>
        <w:tc>
          <w:tcPr>
            <w:tcW w:type="dxa" w:w="4515"/>
            <w:gridSpan w:val="5"/>
            <w:vMerge/>
            <w:tcBorders/>
          </w:tcPr>
          <w:p/>
        </w:tc>
        <w:tc>
          <w:tcPr>
            <w:tcW w:type="dxa" w:w="903"/>
            <w:vMerge/>
            <w:tcBorders/>
          </w:tcPr>
          <w:p/>
        </w:tc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2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Редакція 2022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2" w:after="0"/>
              <w:ind w:left="0" w:right="154" w:firstLine="0"/>
              <w:jc w:val="right"/>
            </w:pPr>
            <w:r>
              <w:rPr>
                <w:rFonts w:ascii="FontAwesome" w:hAnsi="FontAwesome" w:eastAsia="FontAwesome"/>
                <w:b w:val="0"/>
                <w:i w:val="0"/>
                <w:color w:val="FFFFFF"/>
                <w:sz w:val="20"/>
              </w:rPr>
              <w:t>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0" w:right="0" w:bottom="56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vubp.cz/infomaterialy-bozp" TargetMode="External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