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0" w:before="0" w:line="240" w:lineRule="auto"/>
        <w:ind w:left="10" w:right="2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НАВЧАЛЬНО-НАУКОВИЙ ІНСТИТУТ ФІЛОЛОГІЇ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Кафедра теорії та практики перекладу романських мов імені Миколи Зерова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spacing w:after="0" w:before="0" w:line="240" w:lineRule="auto"/>
        <w:ind w:left="567" w:right="1542" w:hanging="425"/>
        <w:jc w:val="left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spacing w:after="0" w:before="0" w:line="240" w:lineRule="auto"/>
        <w:ind w:left="567" w:right="1542" w:hanging="425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                                                            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ЗАТВЕРДЖУЮ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Заступник директора з навчально-методичної роботи (західний напрям)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_______________   Наталія БІЛОУС</w:t>
      </w:r>
    </w:p>
    <w:p w:rsidR="00000000" w:rsidDel="00000000" w:rsidP="00000000" w:rsidRDefault="00000000" w:rsidRPr="00000000" w14:paraId="0000000B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«___» _______________20____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after="0" w:before="0" w:line="240" w:lineRule="auto"/>
        <w:ind w:left="4615" w:right="1100" w:hanging="258.9999999999998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РОБОЧА ПРОГРАМА НАВЧАЛЬНОЇ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after="0" w:before="0" w:line="276" w:lineRule="auto"/>
        <w:ind w:right="0" w:firstLine="567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none"/>
          <w:vertAlign w:val="baseline"/>
          <w:rtl w:val="0"/>
        </w:rPr>
        <w:t xml:space="preserve">Лінгвокультурологічні аспекти перекладу з української мови іспанською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для студентів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2495"/>
        <w:gridCol w:w="7143"/>
        <w:tblGridChange w:id="0">
          <w:tblGrid>
            <w:gridCol w:w="2495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галузь знань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 «Гуманітарні науки»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спеціальність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035 «Філологія»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спеціалізація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035.051 романські мови та літератури (переклад включно), перша — іспанська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освітній рівень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бакалавр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освітня програма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«Переклад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 іспанської та з англійської мов»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вид дисципліни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Вибіркова, блок “Переклад у міжкультурній комунікації (іспанська мова, англійська мова)”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auto" w:val="clear"/>
        <w:spacing w:after="0" w:before="0" w:line="240" w:lineRule="auto"/>
        <w:ind w:left="206" w:right="2655" w:firstLine="1921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95.0" w:type="dxa"/>
        <w:jc w:val="right"/>
        <w:tblLayout w:type="fixed"/>
        <w:tblLook w:val="0000"/>
      </w:tblPr>
      <w:tblGrid>
        <w:gridCol w:w="3573"/>
        <w:gridCol w:w="3122"/>
        <w:tblGridChange w:id="0">
          <w:tblGrid>
            <w:gridCol w:w="3573"/>
            <w:gridCol w:w="3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Форма навчання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денна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Навчальний piк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2024/2025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Кількість кредитів 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Мова викладання, </w:t>
            </w:r>
          </w:p>
          <w:p w:rsidR="00000000" w:rsidDel="00000000" w:rsidP="00000000" w:rsidRDefault="00000000" w:rsidRPr="00000000" w14:paraId="0000002A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навчання та оцінювання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іспанська, українська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Форма заключного контролю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іспит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auto" w:val="clear"/>
        <w:spacing w:after="0" w:before="0" w:line="240" w:lineRule="auto"/>
        <w:ind w:left="206" w:right="2655" w:firstLine="1921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before="0" w:line="240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Викладач: Ірина ШИЯНОВА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к.філол.н., асистент кафедри теорії та практики перекладу романських мов імені Миколи Зерова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0" w:before="0" w:line="240" w:lineRule="auto"/>
        <w:ind w:left="38" w:right="0" w:hanging="5"/>
        <w:jc w:val="both"/>
        <w:rPr>
          <w:rFonts w:ascii="Times New Roman" w:cs="Times New Roman" w:eastAsia="Times New Roman" w:hAnsi="Times New Roman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Пролонговано: на 20__ /20__ н.р. ____________(_______________) «___» ____20___p.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after="3" w:before="0" w:line="252.00000000000003" w:lineRule="auto"/>
        <w:ind w:left="10" w:right="202" w:hanging="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spacing w:after="3" w:before="0" w:line="252.00000000000003" w:lineRule="auto"/>
        <w:ind w:left="10" w:right="20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Розробник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Ірина ШИЯНОВА, к.філол.н., асистент кафедри теорії та практики перекладу романських мов імені Миколи Зерова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0" w:before="0" w:lineRule="auto"/>
        <w:ind w:left="3969" w:right="1279" w:hanging="1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ЗАТВЕРДЖЕНО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Зав. кафедри теорії та практики перекладу романських мов імені Миколи Зерова</w:t>
      </w:r>
    </w:p>
    <w:p w:rsidR="00000000" w:rsidDel="00000000" w:rsidP="00000000" w:rsidRDefault="00000000" w:rsidRPr="00000000" w14:paraId="00000039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spacing w:after="14" w:before="0" w:lineRule="auto"/>
        <w:ind w:left="3242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____________ Ірина СМУЩИНСЬКА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tabs>
          <w:tab w:val="center" w:leader="none" w:pos="3741"/>
          <w:tab w:val="center" w:leader="none" w:pos="5773"/>
        </w:tabs>
        <w:spacing w:after="230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                        (підпис)</w:t>
        <w:tab/>
      </w:r>
    </w:p>
    <w:p w:rsidR="00000000" w:rsidDel="00000000" w:rsidP="00000000" w:rsidRDefault="00000000" w:rsidRPr="00000000" w14:paraId="0000003C">
      <w:pPr>
        <w:shd w:fill="auto" w:val="clear"/>
        <w:tabs>
          <w:tab w:val="left" w:leader="none" w:pos="3261"/>
          <w:tab w:val="center" w:leader="none" w:pos="4844"/>
          <w:tab w:val="center" w:leader="none" w:pos="6946"/>
        </w:tabs>
        <w:spacing w:after="785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Протокол № ____ від «____» ____________ 20___р.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auto" w:val="clear"/>
        <w:spacing w:after="0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Схвалено науково-методичною комісією Навчально-наукового інституту філології Протокол № ____  від «_____» ________________ 20____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spacing w:after="86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spacing w:after="86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Голова науково-методичної комісії ________________ Оксана ЗУБАНЬ</w:t>
      </w:r>
    </w:p>
    <w:p w:rsidR="00000000" w:rsidDel="00000000" w:rsidP="00000000" w:rsidRDefault="00000000" w:rsidRPr="00000000" w14:paraId="00000040">
      <w:pPr>
        <w:shd w:fill="auto" w:val="clear"/>
        <w:tabs>
          <w:tab w:val="center" w:leader="none" w:pos="5103"/>
        </w:tabs>
        <w:spacing w:after="230" w:before="0" w:lineRule="auto"/>
        <w:ind w:right="0" w:firstLine="2835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       (підпис)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tabs>
          <w:tab w:val="center" w:leader="none" w:pos="5133"/>
        </w:tabs>
        <w:spacing w:after="230" w:before="0" w:line="240" w:lineRule="auto"/>
        <w:ind w:left="10" w:right="24" w:hanging="1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ind w:right="0"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1"/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1. Мета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— формування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вмінь та навичок перекладу з української на іспанську мову з урахуванням лінгвокультурологічної специфіки міжмовної комунікації.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2. Попередні вимоги до опанування навчальної дисципліни.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1. Знати іспанську мову на рівні не нижче B1+/B2.</w:t>
      </w:r>
    </w:p>
    <w:p w:rsidR="00000000" w:rsidDel="00000000" w:rsidP="00000000" w:rsidRDefault="00000000" w:rsidRPr="00000000" w14:paraId="00000047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2. Мати базові вміння письмового та усного перекладу неспеціалізованих текстів з іспанської на українську.</w:t>
      </w:r>
    </w:p>
    <w:p w:rsidR="00000000" w:rsidDel="00000000" w:rsidP="00000000" w:rsidRDefault="00000000" w:rsidRPr="00000000" w14:paraId="00000048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3. Володіти елементарними навичками перекладацького аналізу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3. Анотація навчальної дисципліни: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Є профільною дисципліною, входить до блоку вільного вибору «Переклад у міжкультурній комунікації (іспанська мова, англійська мова)». Сприяє набуттю знань та вмінь перекладу в напрямку A-B. Вчить вирішувати в перекладі лексичні та граматичні проблеми, актуальні для даного напрямку перекладу, з особливим акцентом на проблемах перекладу</w:t>
      </w:r>
      <w:r w:rsidDel="00000000" w:rsidR="00000000" w:rsidRPr="00000000">
        <w:rPr>
          <w:rFonts w:ascii="sans-serif" w:cs="sans-serif" w:eastAsia="sans-serif" w:hAnsi="sans-serif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культурно маркованих елементів у текстах різних жанрів.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Мови навчання, викладання та оцінювання — іспанська і українська.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4. Завдання (навчальні цілі):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розвиток навичок перекладацького аналізу оригінального тексту на різних рівнях його лінгвістичної організації;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формування навичок та вмінь письмового перекладу з української мови на іспанську з урахуванням лінгвокультурних та соціокультурних аспектів міжмовної комунікації; використання різних способів передачі культурно маркованих елементів;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навички перекладацької роботи з дво- та одномовними словниками різного типу, електронними корпусами, паперовими та електронними джерелами фонової інформації, засобами автоматизації перекладу;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навички критичного аналізу перекладу та редагування перекладу текстів;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набуття навичок усного перекладу з аркуша та реферування з української мови на іспанську.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auto" w:val="clear"/>
        <w:spacing w:after="0" w:before="0" w:line="240" w:lineRule="auto"/>
        <w:ind w:right="0" w:firstLine="283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Дисципліна спрямована на формування таких програмних компетентностей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 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 Усвідомлення засад і технологій створення текстів різних жанрів і стилів державною та іноземними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vertAlign w:val="baseline"/>
          <w:rtl w:val="0"/>
        </w:rPr>
        <w:t xml:space="preserve">(іспанською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 та англійською) мовами.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ФК 14.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Здатність враховувати міжмовні розбіжності на рівні системи, норми та узусу, долати явища інтерференції в процесі перекладу та на етапі саморедагування.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ФК 15.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Здатність створювати повні й адекватні письмові та усні переклади текстів різних жанрів та стилів з іспанської та англійської мов українською та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 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 20.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vertAlign w:val="baseline"/>
          <w:rtl w:val="0"/>
        </w:rPr>
        <w:t xml:space="preserve"> Здатність використовувати техніку анотування та реферування.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ФК 22.1.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Знання сучасних варіантів та регістрів іспанської та англійської 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ФК 23.1.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Вміння здійснювати комунікативну міжмовну медіацію на основі знання лінгвокультурологічної специфіки.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auto" w:val="clear"/>
        <w:spacing w:after="0" w:before="0" w:line="240" w:lineRule="auto"/>
        <w:ind w:right="0" w:firstLine="283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auto" w:val="clear"/>
        <w:spacing w:after="0" w:before="0" w:line="240" w:lineRule="auto"/>
        <w:ind w:right="0" w:firstLine="567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5. Результати навчання за дисципліною: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108.0" w:type="dxa"/>
        <w:tblLayout w:type="fixed"/>
        <w:tblLook w:val="0000"/>
      </w:tblPr>
      <w:tblGrid>
        <w:gridCol w:w="900"/>
        <w:gridCol w:w="3000"/>
        <w:gridCol w:w="1763"/>
        <w:gridCol w:w="1987"/>
        <w:gridCol w:w="1989"/>
        <w:tblGridChange w:id="0">
          <w:tblGrid>
            <w:gridCol w:w="900"/>
            <w:gridCol w:w="3000"/>
            <w:gridCol w:w="1763"/>
            <w:gridCol w:w="1987"/>
            <w:gridCol w:w="1989"/>
          </w:tblGrid>
        </w:tblGridChange>
      </w:tblGrid>
      <w:tr>
        <w:trPr>
          <w:cantSplit w:val="0"/>
          <w:trHeight w:val="8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навчання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(1 - знати; 2 - вміти; 3 - комунікація; 4 - автономність та відповідальність)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 (та/або методи і технології) викладання і навчання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 оцінювання та пороговий критерій оцінювання (за необхідності)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Відсоток у підсумковій оцінці з дисципліни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Результат навчання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основні закономірності процесу перекладу на іноземну мову і чинники, які впливають на характер міжмовних перекладацьких відповідників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типологію основних труднощів у процесі письмового та усного перекладу на іноземну мову, зокрема  лінгвокультурного характеру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прийоми і способи передачі лінгвокультурних особливостей вихідного тексту цільовою мовою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завдань,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Вміти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робити попередній аналіз тексту з перекладацької точки зору, визначати мовні та позамовні проблеми перекладу та аргументувати шляхи їх вирішення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hd w:fill="auto" w:val="clear"/>
              <w:spacing w:after="0" w:before="0" w:line="240" w:lineRule="auto"/>
              <w:ind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аналізувати конкретні перекладацькі труднощі та прогнозувати можливі шляхи їх подолання у перекладі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завдань,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робити письмовий переклад тексту визначеного обсягу з української на іспанську з використанням різноманітних словників та інших джерел інформації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письмовий переклад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усно перекладати і реферувати іспанською мовою українськомовні тексти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Виконання завдань з усного перекладу,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переклад з аркуша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Комунікація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демонструвати активне володіння оперативним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мінімум слів та фраз з тематики, що вивчається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практичне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завдань з усного перекладу,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 з аркуша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Автономність та відповідальність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проводити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пошук і відбір необхідної для здійснення перекладу лінгвокультурної інформації та відповідників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виконання завдань з усного перекладу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здійснювати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постперекладний аналіз 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редагування письмового перекладу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самостійна робота, 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письмовий переклад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hd w:fill="auto" w:val="clear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auto" w:val="clear"/>
        <w:spacing w:after="0" w:before="0" w:line="240" w:lineRule="auto"/>
        <w:ind w:right="0" w:firstLine="283"/>
        <w:jc w:val="both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Співвідношення результатів навчання дисципліни з програмними результатами навчання</w:t>
      </w:r>
      <w:r w:rsidDel="00000000" w:rsidR="00000000" w:rsidRPr="00000000">
        <w:rPr>
          <w:rtl w:val="0"/>
        </w:rPr>
      </w:r>
    </w:p>
    <w:tbl>
      <w:tblPr>
        <w:tblStyle w:val="Table4"/>
        <w:tblW w:w="9770.0" w:type="dxa"/>
        <w:jc w:val="left"/>
        <w:tblInd w:w="-108.0" w:type="dxa"/>
        <w:tblLayout w:type="fixed"/>
        <w:tblLook w:val="0000"/>
      </w:tblPr>
      <w:tblGrid>
        <w:gridCol w:w="4313"/>
        <w:gridCol w:w="537"/>
        <w:gridCol w:w="525"/>
        <w:gridCol w:w="525"/>
        <w:gridCol w:w="538"/>
        <w:gridCol w:w="525"/>
        <w:gridCol w:w="537"/>
        <w:gridCol w:w="525"/>
        <w:gridCol w:w="538"/>
        <w:gridCol w:w="525"/>
        <w:gridCol w:w="682"/>
        <w:tblGridChange w:id="0">
          <w:tblGrid>
            <w:gridCol w:w="4313"/>
            <w:gridCol w:w="537"/>
            <w:gridCol w:w="525"/>
            <w:gridCol w:w="525"/>
            <w:gridCol w:w="538"/>
            <w:gridCol w:w="525"/>
            <w:gridCol w:w="537"/>
            <w:gridCol w:w="525"/>
            <w:gridCol w:w="538"/>
            <w:gridCol w:w="525"/>
            <w:gridCol w:w="68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Програмні результати навчання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Результати навчання дисципліни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 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Знати принципи, технології і прийоми створення усних і письмових текстів різних жанрів і стилів державною та іноземними (іспанською та англійською) мовами.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hd w:fill="auto" w:val="clear"/>
              <w:tabs>
                <w:tab w:val="left" w:leader="none" w:pos="709"/>
                <w:tab w:val="left" w:leader="none" w:pos="851"/>
              </w:tabs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 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Інтерпретувати, реферувати, анотувати й адекватно перекладати (з іспанської, англійської та української мов) усні й письмові тексти різних стилів і жанрів, окрім вузькоспеціальних.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hd w:fill="auto" w:val="clear"/>
              <w:tabs>
                <w:tab w:val="left" w:leader="none" w:pos="709"/>
                <w:tab w:val="left" w:leader="none" w:pos="851"/>
              </w:tabs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 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Виявляти і аналізувати специфіку комунікативної ситуації перекладу та її вплив на перекладацькі рішення.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hd w:fill="auto" w:val="clear"/>
              <w:tabs>
                <w:tab w:val="left" w:leader="none" w:pos="499"/>
              </w:tabs>
              <w:spacing w:after="0" w:before="0"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ПРН 27.1.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Володіти сучасними варіантами та регістрами іспанської та англійської мов.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hd w:fill="auto" w:val="clear"/>
              <w:tabs>
                <w:tab w:val="left" w:leader="none" w:pos="709"/>
                <w:tab w:val="left" w:leader="none" w:pos="851"/>
              </w:tabs>
              <w:spacing w:after="0" w:before="0"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vertAlign w:val="baseline"/>
                <w:rtl w:val="0"/>
              </w:rPr>
              <w:t xml:space="preserve">ПРН 28.1.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  <w:rtl w:val="0"/>
              </w:rPr>
              <w:t xml:space="preserve"> Демонструвати вміння здійснювати комунікативну міжмовну медіацію на основі знання лінгвокультурологічної специфіки.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hd w:fill="auto" w:val="clear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 Схема формування оцінки.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7.1. Форми оцінювання студентів: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семестрове оцінювання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9708.0" w:type="dxa"/>
        <w:jc w:val="left"/>
        <w:tblInd w:w="-103.0" w:type="dxa"/>
        <w:tblLayout w:type="fixed"/>
        <w:tblLook w:val="0000"/>
      </w:tblPr>
      <w:tblGrid>
        <w:gridCol w:w="2888"/>
        <w:gridCol w:w="1987"/>
        <w:gridCol w:w="988"/>
        <w:gridCol w:w="987"/>
        <w:gridCol w:w="988"/>
        <w:gridCol w:w="987"/>
        <w:gridCol w:w="883"/>
        <w:tblGridChange w:id="0">
          <w:tblGrid>
            <w:gridCol w:w="2888"/>
            <w:gridCol w:w="1987"/>
            <w:gridCol w:w="988"/>
            <w:gridCol w:w="987"/>
            <w:gridCol w:w="988"/>
            <w:gridCol w:w="987"/>
            <w:gridCol w:w="88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Види робіт та форми їх контролю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Результати навчання, які оцінюються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Кількість 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Кількість балів за вид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Сумарна кількість балів за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мінімальна для позитивної оцінки (60%)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максимальна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мінімальна для позитивної оцінки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максимальна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письмових завдань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переклад і реферування текстів, виконання письмових вправ з техніки перекладу, зіставний аналіз паралельних текстів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1.3; РН 2.1; РН 2.2; РН 2.3; РН 4.1;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завдань з усного перекладу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реферативний переклад, переклад з аркуша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2.4; РН 3; РН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 робота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перекладацький коментар, письмовий переклад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1.1; РН 1.2; РН 1.3; РН 2.1; РН 2.2; РН 2.3;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Іспит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1.1; РН 1.2; РН 1.3; РН 2.1; РН 2.2; РН 2.3; РН 2.4; РН 3;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Всього за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виконання письмових завдань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2,5 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повною мірою, студент у повному обсязі володіє навчальним матеріалом, глибоко та всебічно розкриває зміст поставленого завдання;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 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з несуттєвими неточностями, студент у достатньому обсязі володіє навчальним матеріалом, в основному розкриває зміст поставленого завдання;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1,5 бала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частково (більше ніж 60% завдання), студент загалом володіє навчальним матеріалом, але не демонструє глибини знань;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0-1,4 бала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письмове завдання виконано частково (менше ніж 60% завдання) або не виконано; студент не в повному обсязі володіє матеріалом, фрагментарно та поверхово його представляє, недостатньо розкриває зміст поставлених питань, допускає суттєві помилки.</w:t>
      </w:r>
    </w:p>
    <w:p w:rsidR="00000000" w:rsidDel="00000000" w:rsidP="00000000" w:rsidRDefault="00000000" w:rsidRPr="00000000" w14:paraId="00000145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 з усного перекладу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2 бали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повною мірою, студент у повному обсязі володіє навчальним матеріалом;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1,6 бала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з несуттєвими неточностями, студент у достатньому обсязі володіє навчальним матеріалом;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1,2 бала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частково (більше ніж 60% завдання), студент загалом володіє навчальним матеріалом, але не демонструє глибини знань;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0-1,1 бала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shd w:fill="auto" w:val="clear"/>
          <w:vertAlign w:val="baseline"/>
          <w:rtl w:val="0"/>
        </w:rPr>
        <w:t xml:space="preserve">студент не в повному обсязі володіє матеріалом, фрагментарно та поверхово його представляє, недостатньо розкриває зміст поставлених питань, допускає суттєві помилки.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контрольна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9-10 балів (відмінно):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студент у повному обсязі володіє навчальним матеріалом, глибоко та всебічно розкриває зміст поставленого завдання; письмовий переклад виконано повно, з досягненням семантичної вірності, прагматичної адекватності і дотриманням норм іспанської мови на рівні 90-100%; допущено 0-2 змістові помилки, що суттєво не впливають на передачу загального змісту, не більше 5 помилок іншого характеру (лексичні, граматичні, орфографічні, пунктуаційні, стилістичні);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7,5-8,9 бала (добре):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студент у достатньому обсязі володіє навчальним матеріалом, але може не вистачати аргументації в поясненнях, розкриває зміст поставленого завдання, допускаються несуттєві неточності; письмовий переклад виконано повно, з досягненням семантичної вірності, прагматичної адекватності і дотриманням норм іспанської мови на рівні 75-89%; допущено не більше 4 змістових помилок, не більше 6 помилок іншого характеру (лексичні, граматичні, орфографічні, пунктуаційні, стилістичні);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6-7,4 бала (задовільно):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загалом володіє навчальним матеріалом, але не демонструє глибини знань, самостійності у вирішенні поставлених завдань, відповідь містить суттєві неточності; письмовий переклад виконано повно, з дотриманням вимог семантичної вірності та прагматичної адекватності, а також норм іспанської мови на рівні 60-74%; допущено не більше 5 змістових помилок, не більше 8 помилок іншого характеру (лексичні, граматичні, орфографічні, пунктуаційні, стилістичні);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0-5 балів (незадовільно)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shd w:fill="auto" w:val="clear"/>
          <w:vertAlign w:val="baseline"/>
          <w:rtl w:val="0"/>
        </w:rPr>
        <w:t xml:space="preserve">не в повному обсязі володіє матеріалом, фрагментарно та поверхово його викладає, недостатньо розкриває зміст поставлених питань; допускає суттєві помилки; демонструє несамостійність у виконанні завдань;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vertAlign w:val="baseline"/>
          <w:rtl w:val="0"/>
        </w:rPr>
        <w:t xml:space="preserve">переклад виконано частково, допущені грубі порушення норм іспанської мови; допущено 6 і більше змістових, понад 9 орфографічних, граматичних, лексичних та стилістичних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підсумкове оцінювання: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auto" w:val="clear"/>
        <w:spacing w:after="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shd w:fill="auto" w:val="clear"/>
          <w:vertAlign w:val="baseline"/>
          <w:rtl w:val="0"/>
        </w:rPr>
        <w:t xml:space="preserve">3-х завдань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: 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письмовий переклад тексту з української на іспанську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мін. 12 - макс. 20 балів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); 2)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 письмовий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 коментар лінгвокультурологічних труднощів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перекладу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мін. 6 - макс. 10 балів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); 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переклад з аркуша українського тексту іспанською мовою (мін. 6 - макс. 10 балів)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36-40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студент у повному обсязі володіє навчальним матеріалом, глибоко та всебічно розкриває зміст поставленого завдання; письмовий переклад виконано повно, з досягненням семантичної вірності, прагматичної адекватності і дотриманням норм іспанської мови на рівні 90-100%, допущено 0-2 змістові помилки, що суттєво не впливають на передачу загального змісту, не більше 5 помилок іншого характеру (лексичні, граматичні, орфографічні, пунктуаційні, стилістичні);  переклад з аркуша виконано з високим ступенем змістової відповідності і грамотності;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30-35 бала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студент у достатньому обсязі володіє навчальним матеріалом, але може не вистачати аргументації в поясненнях, розкриває зміст поставленого завдання, допускаються несуттєві неточності; письмовий переклад виконано повно, з досягненням семантичної вірності, прагматичної адекватності і дотриманням норм іспанської мови на рівні 75-89%, допущено не більше 4 змістових помилок, не більше 6 помилок іншого характеру (лексичні, граматичні, орфографічні, пунктуаційні, стилістичні); переклад з аркуша виконано з належним рівнем грамотності, допускаються несуттєві змістові неточності;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24-29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загалом володіє навчальним матеріалом, але не демонструє глибини знань, самостійності у вирішенні поставлених завдань, відповідь містить суттєві неточності; письмовий переклад виконано повно, з дотриманням вимог семантичної вірності та прагматичної адекватності, а також норм іспанської мови на рівні 60-74%, допущено не більше 5 змістових помилок, не більше 8 помилок іншого характеру (лексичні, граматичні, орфографічні, пунктуаційні, стилістичні); переклад з аркуша  виконано з задовільним рівнем грамотності, допускаються поодинокі змістові помилки чи лакуни у передачі релевантної інформації;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1-23 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допускає суттєві помилки; демонструє несамостійність у виконанні завдань; переклад виконано частково, допущені грубі порушення норм іспанської мови, допущено 6 і більше змістових, понад 9 орфографічних, граматичних, лексичних та стилістичних помилок; переклад з аркуша виконано з незадовільним рівнем грамотності, містить регулярні змістові помилки.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Організація оцінювання: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40" w:lineRule="auto"/>
        <w:ind w:right="0" w:firstLine="709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Упродовж семестру здійснюється оцінювання відповідно до видів робіт та форм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контролю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, описаних у п. 7.1. Студенти, які за семестр набрали сумарно меншу кількість балів, ніж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критично-розрахунковий мінімум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балів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до складання іспиту не допускаються. С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тудентам, які набрали сумарно меншу кількість балів ніж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критично-розрахунковий мінімум,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для допуску до іспиту мають обов’язково виконати не менше 50% письмових завдань за семестр, а також написати контрольні роботи, з яких не набрали мінімального числа балів. Мінімальний бал для допуску до перескладання іспиту — 36 балів, при цьому 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аксимальна оцінка за додаткові форми оцінювання не може перевищувати 40% максимальної підсумкової суми балів за семестр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24 бали. </w:t>
      </w:r>
    </w:p>
    <w:p w:rsidR="00000000" w:rsidDel="00000000" w:rsidP="00000000" w:rsidRDefault="00000000" w:rsidRPr="00000000" w14:paraId="0000015C">
      <w:pPr>
        <w:spacing w:after="0" w:before="0" w:line="240" w:lineRule="auto"/>
        <w:ind w:right="0" w:firstLine="851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Семестрову підсумкову оцінку формують бали, отримані студентом упродовж семестру, та бали, отримані на іспиті, максимальний розподіл здійснюється за таким алгоритмом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60 балів (60%) – семестровий контроль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40 балів (40%) – іспит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563.0" w:type="dxa"/>
        <w:jc w:val="left"/>
        <w:tblInd w:w="-108.0" w:type="dxa"/>
        <w:tblLayout w:type="fixed"/>
        <w:tblLook w:val="0000"/>
      </w:tblPr>
      <w:tblGrid>
        <w:gridCol w:w="1704"/>
        <w:gridCol w:w="2946"/>
        <w:gridCol w:w="2893"/>
        <w:gridCol w:w="2020"/>
        <w:tblGridChange w:id="0">
          <w:tblGrid>
            <w:gridCol w:w="1704"/>
            <w:gridCol w:w="2946"/>
            <w:gridCol w:w="2893"/>
            <w:gridCol w:w="2020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Бали за семестр</w:t>
            </w:r>
          </w:p>
          <w:p w:rsidR="00000000" w:rsidDel="00000000" w:rsidP="00000000" w:rsidRDefault="00000000" w:rsidRPr="00000000" w14:paraId="0000015F">
            <w:pPr>
              <w:spacing w:after="0" w:before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Бали на</w:t>
            </w:r>
          </w:p>
          <w:p w:rsidR="00000000" w:rsidDel="00000000" w:rsidP="00000000" w:rsidRDefault="00000000" w:rsidRPr="00000000" w14:paraId="00000161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іспиті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Підсумкова оцінка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Мінімум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Максимум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Якщо студент на іспиті набрав менше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(60% від 40 балів, відведених на іспит), то вони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 додаються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до семестрової оцінки, не зважаючи від кількість балів, отриманих під час семестру, а у відомість за національною шкалою виставляється «незадовільно».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auto" w:val="clear"/>
        <w:spacing w:after="0" w:before="0" w:line="240" w:lineRule="auto"/>
        <w:ind w:right="0" w:firstLine="283"/>
        <w:jc w:val="both"/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7.3. Шкала відповідності оцінок</w:t>
      </w:r>
    </w:p>
    <w:tbl>
      <w:tblPr>
        <w:tblStyle w:val="Table7"/>
        <w:tblW w:w="8004.000000000001" w:type="dxa"/>
        <w:jc w:val="left"/>
        <w:tblInd w:w="-113.0" w:type="dxa"/>
        <w:tblLayout w:type="fixed"/>
        <w:tblLook w:val="0000"/>
      </w:tblPr>
      <w:tblGrid>
        <w:gridCol w:w="4538"/>
        <w:gridCol w:w="3466"/>
        <w:tblGridChange w:id="0">
          <w:tblGrid>
            <w:gridCol w:w="4538"/>
            <w:gridCol w:w="3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Відмінно / 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90-100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Добре /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75-89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Задовільно / 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60-74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Незадовільно 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0-59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8. СТРУКТУРА НАВЧАЛЬНОЇ ДИСЦИПЛІНИ. ТЕМАТИЧНИЙ ПЛАН ПРАКТИЧНИХ ЗАНЯТЬ</w:t>
      </w:r>
    </w:p>
    <w:p w:rsidR="00000000" w:rsidDel="00000000" w:rsidP="00000000" w:rsidRDefault="00000000" w:rsidRPr="00000000" w14:paraId="00000177">
      <w:pPr>
        <w:spacing w:after="0" w:before="0" w:line="240" w:lineRule="auto"/>
        <w:ind w:right="0" w:firstLine="397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48.0" w:type="dxa"/>
        <w:jc w:val="left"/>
        <w:tblInd w:w="-108.0" w:type="dxa"/>
        <w:tblLayout w:type="fixed"/>
        <w:tblLook w:val="0000"/>
      </w:tblPr>
      <w:tblGrid>
        <w:gridCol w:w="688"/>
        <w:gridCol w:w="5175"/>
        <w:gridCol w:w="1925"/>
        <w:gridCol w:w="62"/>
        <w:gridCol w:w="1998"/>
        <w:tblGridChange w:id="0">
          <w:tblGrid>
            <w:gridCol w:w="688"/>
            <w:gridCol w:w="5175"/>
            <w:gridCol w:w="1925"/>
            <w:gridCol w:w="62"/>
            <w:gridCol w:w="199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Назва теми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Кількість годин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Аудиторні  (практичні)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Самостійна робота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Предмет і завдання курсу «Основи перекладу з української мови на іспанську»; структура курсу, форми і методи оцінювання.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Загальні характеристики процесу перекладу на іноземну мову, його особливості та сфери застосування для пари українська-іспанська.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Граматичні, лексичні та стилістичні проблеми перекладу з української мови на іспанську. Способи подолання в перекладі лінгвокультурних розбіжностей.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Перекладацький коментар лінгвокультурологічних аспектів і письмовий переклад текстів різних жанрів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газетно-інформаційні, рекламні, аналітично-публіцистичні, художні тексти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Реферування, переклад з аркуша і послідовний переклад текстів з української мови на іспанську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замітки, промови, інтерв’ю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Зіставний аналіз лінгвокультурної специфіки паралельних текстів різної жанрово-стильової приналежності українською та іспанською мовами.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Контрольна робота 1 та її аналіз.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Контрольна робота 2 та її аналіз.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right="0" w:firstLine="397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right="0" w:firstLine="397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00cc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after="0" w:before="0" w:line="240" w:lineRule="auto"/>
        <w:ind w:right="0" w:firstLine="397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ind w:right="0" w:firstLine="397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Загальний обсяг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90 год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в тому числі:</w:t>
      </w:r>
    </w:p>
    <w:p w:rsidR="00000000" w:rsidDel="00000000" w:rsidP="00000000" w:rsidRDefault="00000000" w:rsidRPr="00000000" w14:paraId="000001AC">
      <w:pPr>
        <w:spacing w:after="0" w:before="0" w:line="240" w:lineRule="auto"/>
        <w:ind w:right="0" w:firstLine="397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практичні заняття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44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самостійної роботи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46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40" w:lineRule="auto"/>
        <w:ind w:right="0" w:firstLine="397"/>
        <w:jc w:val="center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РЕКОМЕНДОВАНІ ДЖЕРЕЛА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ОСНОВНІ: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tabs>
          <w:tab w:val="left" w:leader="none" w:pos="738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Гетьман З.О., Орлова І.С. Жанрові теорії перекладу: Підручник. Київ: Освіта України, 2014. 468 с.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tabs>
          <w:tab w:val="left" w:leader="none" w:pos="738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Матузкова О. П. Лінгвокультура та переклад : моногр. / О. П. Матузкова. Одеса : Видавець Букаєв Вадим Вікторович, 2022. 226 с.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tabs>
          <w:tab w:val="left" w:leader="none" w:pos="738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Українсько-іспанський та іспансько-український практикум з усного перекладу промов та доповідей (для студентів-перекладачів старших курсів)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/ Упор.: С.О. Ризванюк, Г.Г. Верба; КНУТШ. Київ: Київський університет, 2003. 84с.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tabs>
          <w:tab w:val="left" w:leader="none" w:pos="738"/>
        </w:tabs>
        <w:spacing w:after="0" w:before="0" w:line="276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shd w:fill="auto" w:val="clear"/>
          <w:vertAlign w:val="baseline"/>
          <w:rtl w:val="0"/>
        </w:rPr>
        <w:t xml:space="preserve">Шиянова І.М. Методична розробка з порівняльної граматики іспанської та української мов. Київ: КНУ імені Тараса Шевченка, 2019. 30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458"/>
        </w:tabs>
        <w:spacing w:after="0" w:before="0" w:line="276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ДОДАТКОВІ: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Гамяніна (Шиянова) І.М. Особливості функціонування та перекладу пасивних конструкцій (на матеріалі іспанської та української мов).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Вісник Київського університету. Серія: Іноземна філологія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. Вип. 29. К. : ВПЦ “Київський університет”, 2000.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Голубовська І. О. Перспективи розвитку сучасної зіставної лінгвокультурології.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Науковий часопис НПУ імені М. П. Драгоманова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. Серія 9. Сучасні тенденції розвитку мов. Випуск 3’2009. С. 98-102.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Загнітко А. П. Лінгвокультурологія: навчальний посібник для студентів вищих навчальних закладів / А. П. Загнітко, І. В. Богданова; за ред. А. П. Загнітка. –3-є вид., перероб. і доп. Вінниця: ДонНУ імені Василя Стуса, 2017. 287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Кавицька Т.І. Лінгводидактичні засади навчання письмового перекладу з рідної мови на іноземну.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Вісник Чернігівського державного педагогічного університету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 Вип. 63. Серія : Педагогічні науки. Чернігів, 2009. С.78-81.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Калустова О.М. Синтаксичні проблеми мовної інтерференції при перекладі (на матеріалі іспанської та української мов).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Вісник Київського національного університету імені Тараса Шевченка Іноземна філологія. Серія: Іноземна філологія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. Вип. 34/36. Київ, 2003. С. 123-126.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Каліщук Д.М. Лінгвокультурні особливості перекладу політичного дискурсу.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Вісник Сумського державного університету. Сер. : Філологічні науки.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№11 (95). Т.1. Суми, 2006. С. 153-159.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333333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Кононенко В.І. Мова у контексті культури. Монографія. Київ-Івано-Франківськ, 2008.390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33333"/>
          <w:sz w:val="26"/>
          <w:szCs w:val="26"/>
          <w:u w:val="none"/>
          <w:vertAlign w:val="baseline"/>
          <w:rtl w:val="0"/>
        </w:rPr>
        <w:t xml:space="preserve">Костенко, Г. М. Засоби компенсації лінгво- і соціокультурних лакун у тексті перекладу.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Закарпатські філологічні студії.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 Вип. 24. Т. 2. С. 123-127.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Лінгвокультурологічний аспект мовознавчих досліджень : навч.-метод. посіб. до спецкурсу для студентів філолог. ф-ту / Н. Венжинович. 2-ге вид., допов. і перероб. Ужгород : ФОП Сабов А. М., 2021. 292 с.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Попова Н. М., Середа Ю. С. Лінгвокультурологічні аспекти перекладу в романі Х. Серкаса «Воїни Саламіну».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Вчені записки Таврійського національного університету імені В. І. Вернадського. Серія: Філологія, Журналістика,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2023. Том 34 (73). № 5. С. 137–142.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6"/>
            <w:szCs w:val="26"/>
            <w:u w:val="single"/>
            <w:vertAlign w:val="baseline"/>
            <w:rtl w:val="0"/>
          </w:rPr>
          <w:t xml:space="preserve">https://doi.org/10.32782/2710-4656/2023.5/24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Попова Н.М. Національно-марковані концепти в мовній картині світу Іспанії: динаміка розвитку. Київ: Логос, 2018. 268 с.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Торосян О. М. (2020) Linhvokultura yak Nevidiemna Skladova Vykladannia Inozemnoi Movy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. International Journal of Innovative Technologies in Social Science.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 2(23). doi: 10.31435/rsglobal_ijitss/28022020/6950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Фокін С.Б. Хибні друзі перекладача: іспанська, українська мови. Словник-довідник. К.: Капрі, 2015. 112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Фокін С.Б. Іспанські відповідники прислівника “довго”: перекладознавчий та лексикографічний аспекти.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Мовні і концептуальні картини світу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 2010. Вип. 31. С. 172–177.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Фокін С.Б. Герундіальні перифрази як стилістичний ресурс іспанських перекладів української художньої прози.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Вісник Київського університету. Серія: Іноземна філологія.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2011. Вип. 44. C. 51–55.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  <w:rtl w:val="0"/>
        </w:rPr>
        <w:t xml:space="preserve">Шиянова І.М. Українська та іспанська граматична норма з погляду перекладу (до проблеми відтворення функціональної перспективи речення).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Мовні і концептуальні картини світу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  <w:rtl w:val="0"/>
        </w:rPr>
        <w:t xml:space="preserve">. 2003. Вип. 8.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vertAlign w:val="baseline"/>
          <w:rtl w:val="0"/>
        </w:rPr>
        <w:t xml:space="preserve"> С. 204-210.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Інтернет-ресурси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Diccionario de Colocaciones del Español.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single"/>
            <w:vertAlign w:val="baseline"/>
            <w:rtl w:val="0"/>
          </w:rPr>
          <w:t xml:space="preserve">http://www.dicesp.com/paginas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DPD, Diccionario Panhispánico de Dudas. URL: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single"/>
            <w:vertAlign w:val="baseline"/>
            <w:rtl w:val="0"/>
          </w:rPr>
          <w:t xml:space="preserve">http://www.rae.es/recursos/diccionarios/dpd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DRAE [Diccionario De La Real Academia Española. URL: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  <w:rtl w:val="0"/>
          </w:rPr>
          <w:t xml:space="preserve">http://www.rae.es/rae.html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ans-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color w:val="000000"/>
        <w:sz w:val="26"/>
        <w:szCs w:val="26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Times New Roman" w:hAnsi="Times New Roman"/>
      <w:b w:val="0"/>
      <w:bCs w:val="0"/>
      <w:i w:val="0"/>
      <w:caps w:val="0"/>
      <w:smallCaps w:val="0"/>
      <w:strike w:val="0"/>
      <w:dstrike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eastAsia="ru-RU" w:val="uk-UA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eastAsia="ru-RU" w:val="uk-UA"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color w:val="000000"/>
      <w:w w:val="100"/>
      <w:position w:val="-1"/>
      <w:sz w:val="28"/>
      <w:szCs w:val="26"/>
      <w:effect w:val="none"/>
      <w:shd w:color="auto" w:fill="auto" w:val="clear"/>
      <w:vertAlign w:val="baseline"/>
      <w:cs w:val="0"/>
      <w:em w:val="none"/>
      <w:lang w:eastAsia="ru-RU" w:val="uk-UA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eastAsia="Times New Roman" w:hAnsi="Times New Roman"/>
      <w:b w:val="0"/>
      <w:bCs w:val="0"/>
      <w:i w:val="0"/>
      <w:iCs w:val="1"/>
      <w:caps w:val="0"/>
      <w:smallCaps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eastAsia="ru-RU" w:val="uk-UA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BodyText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20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after="0" w:before="0" w:line="360" w:lineRule="auto"/>
      <w:ind w:left="0" w:right="0" w:leftChars="-1" w:rightChars="0" w:firstLine="90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ru-RU" w:val="es-ES"/>
    </w:rPr>
  </w:style>
  <w:style w:type="paragraph" w:styleId="Абзацсписка">
    <w:name w:val="Абзац списка"/>
    <w:basedOn w:val="Normal"/>
    <w:next w:val="Абзацсписка"/>
    <w:autoRedefine w:val="0"/>
    <w:hidden w:val="0"/>
    <w:qFormat w:val="0"/>
    <w:pPr>
      <w:widowControl w:val="1"/>
      <w:suppressAutoHyphens w:val="0"/>
      <w:bidi w:val="0"/>
      <w:spacing w:after="20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es-ES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Noto Serif CJK SC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rae.es/rae.html" TargetMode="External"/><Relationship Id="rId9" Type="http://schemas.openxmlformats.org/officeDocument/2006/relationships/hyperlink" Target="http://www.rae.es/recursos/diccionarios/dp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32782/2710-4656/2023.5/24" TargetMode="External"/><Relationship Id="rId8" Type="http://schemas.openxmlformats.org/officeDocument/2006/relationships/hyperlink" Target="http://www.dicesp.com/pagin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KiB2zehVZWHUCDlkIml6AITTA==">CgMxLjA4AHIhMWtOUXNBNkoybzd5YjlYVGs2VXdmaVFRMjN4TU5PdTRj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2024-10-06T14:44:36Z</dcterms:created>
</cp:coreProperties>
</file>