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color w:val="12304A"/>
          <w:sz w:val="42"/>
          <w:szCs w:val="42"/>
        </w:rPr>
        <w:t xml:space="preserve">Audit PDF, IVA e qualità dei dati</w:t>
      </w:r>
    </w:p>
    <w:p>
      <w:pPr>
        <w:spacing w:after="280"/>
        <w:jc w:val="center"/>
      </w:pPr>
      <w:r>
        <w:rPr>
          <w:rFonts w:ascii="Arial" w:cs="Arial" w:eastAsia="Arial" w:hAnsi="Arial"/>
          <w:i/>
          <w:iCs/>
          <w:color w:val="607D8B"/>
          <w:sz w:val="22"/>
          <w:szCs w:val="22"/>
        </w:rPr>
        <w:t xml:space="preserve">Rapporto professionale aggiornato al 5 agosto 2026</w:t>
      </w:r>
    </w:p>
    <w:p>
      <w:pPr>
        <w:pBdr>
          <w:bottom w:val="single" w:color="2A7F9E" w:sz="12" w:space="8"/>
        </w:pBdr>
        <w:spacing w:after="260"/>
      </w:pPr>
    </w:p>
    <w:p>
      <w:pPr>
        <w:pStyle w:val="TOCHeading"/>
      </w:pPr>
      <w: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40"/>
      </w:pPr>
    </w:p>
    <w:p>
      <w:pPr>
        <w:pStyle w:val="Heading1"/>
        <w:pStyle w:val="Heading1"/>
      </w:pPr>
      <w:r>
        <w:t xml:space="preserve">Scopo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Questa guida descrive il collaudo end-to-end dei documenti contabili, i controlli introdotti e il flusso operativo da usare per nuove importazioni. Non contiene nomi, importi di dettaglio, credenziali o copie dei documenti aziendali.</w:t>
      </w:r>
    </w:p>
    <w:p>
      <w:pPr>
        <w:spacing w:after="40"/>
      </w:pPr>
    </w:p>
    <w:p>
      <w:pPr>
        <w:pStyle w:val="Heading1"/>
        <w:pStyle w:val="Heading1"/>
      </w:pPr>
      <w:r>
        <w:t xml:space="preserve">Perimetro verificato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26 radici Google Drive indicate dall'utente.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13.702 file censiti, di cui 10.326 PDF per circa 1,60 GB.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4.330 contenuti PDF unici per hash, su 9.874 pagine.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4.276 PDF con testo nativo e 48 documenti sottoposti a OCR.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47 OCR riusciti, un OCR da revisione e sei file tecnicamente non leggibili.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Fatture passive, estratti conto, assegni, cedolini, bonifici, F24, quietanze, corrispettivi e liquidazioni IVA.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 file originali restano la fonte probatoria. Le copie presenti in cartelle diverse possono rappresentare fasi di lavorazione e non vengono cancellate solo perché hanno lo stesso hash.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Risultati principali</w:t>
      </w:r>
    </w:p>
    <w:p>
      <w:pPr>
        <w:spacing w:after="40"/>
      </w:pPr>
    </w:p>
    <w:p>
      <w:pPr>
        <w:pStyle w:val="Heading2"/>
        <w:pStyle w:val="Heading2"/>
      </w:pPr>
      <w:r>
        <w:t xml:space="preserve">Duplicati documentali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Sono stati individuati 1.903 gruppi di copie identiche nella stessa cartella, equivalenti a 2.530 copie eccedenti. La rimozione non è stata eseguita perché l'identità Drive utilizzata per l'audit ha accesso in lettura ma non può spostare nel cestino. Il piano di pulizia resta disponibile nell'area audit locale e dovrà essere applicato soltanto dopo una nuova autorizzazione Drive con permessi di scrittura.</w:t>
      </w:r>
    </w:p>
    <w:p>
      <w:pPr>
        <w:spacing w:after="40"/>
      </w:pPr>
    </w:p>
    <w:p>
      <w:pPr>
        <w:pStyle w:val="Heading2"/>
        <w:pStyle w:val="Heading2"/>
      </w:pPr>
      <w:r>
        <w:t xml:space="preserve">IVA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È stato eliminato il fallback che trasformava automaticamente l'IVA esposta in fattura in IVA interamente detraibile. Ora:</w:t>
      </w:r>
    </w:p>
    <w:p>
      <w:pPr>
        <w:spacing w:after="40"/>
      </w:pP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iva_documento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conserva l'imposta indicata nel documento;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iva_detraibile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contiene solo un valore classificato esplicitamente;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una fattura priva di classificazione resta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DA_VERIFICARE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soltanto gli stati ammessi e con IVA detraibile positiva entrano nella liquidazione;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dashboard, bilancio, finanziaria, scadenze, piano dei conti, report, export del commercialista e liquidazioni usano soltanto l'IVA detraibile classificata;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la registrazione in partita doppia si ferma in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da_verificare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se una fattura con IVA non ha ancora una classificazione esplicita.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ricalcolo controllato ha aggiornato 1.567 fatture: 180 risultano pronte per l'inserimento e 1.387 restano da verificare. L'IVA detraibile complessiva classificata non è stata aumentata dal ricalcolo.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Al collaudo finale del 5 agosto 2026 restano 1.358 fatture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DA_VERIFICARE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. Non risultano IVA detraibili negative, superiori all'IVA del documento o stati operativi privi dell'importo esplicito. Le 1.358 posizioni non sono errori di calcolo: sono decisioni di detraibilità che devono essere supportate dalla fattura e dalla relativa natura fiscale.</w:t>
      </w:r>
    </w:p>
    <w:p>
      <w:pPr>
        <w:spacing w:after="40"/>
      </w:pPr>
    </w:p>
    <w:p>
      <w:pPr>
        <w:pStyle w:val="Heading2"/>
        <w:pStyle w:val="Heading2"/>
      </w:pPr>
      <w:r>
        <w:t xml:space="preserve">F24 e quietanze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Su 788 PDF fiscali unici: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48 F24 e 130 quietanze hanno superato il parser con tributi o importi verificabili;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610 documenti sono rimasti fuori dall'import contabile e richiedono revisione;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tutti i 178 documenti validi sono transitati da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documents_inbox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48 F24 sono stati salvati in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f24_unificato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con hash e chiave idempotente;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130 quietanze sono state salvate in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quietanze_f24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due quietanze hanno trovato un collegamento certo con un F24; le altre sono conservate come prove non associate e generano un alert.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matching richiede corrispondenza di codici, periodo e importi entro la tolleranza prevista. Non viene creato un modello F24 a partire dalla sola quietanza.</w:t>
      </w:r>
    </w:p>
    <w:p>
      <w:pPr>
        <w:spacing w:after="40"/>
      </w:pPr>
    </w:p>
    <w:p>
      <w:pPr>
        <w:pStyle w:val="Heading2"/>
        <w:pStyle w:val="Heading2"/>
      </w:pPr>
      <w:r>
        <w:t xml:space="preserve">Cedolini e bonifici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La chiave canonica dei cedolini ora distingue documenti diversi dello stesso dipendente e mese usando tipo documento, datore di lavoro e hash o firma economico-lavorativa. Un secondo cedolino reale nello stesso periodo non viene più eliminato come duplicato.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La coda controllata ha elaborato 1.029 PDF senza errori. Lo stato finale contiene 1.316 cedolini e 1.316 righe di prima nota salari: non risultano chiavi duplicate, collegamenti a cedolini inesistenti o salari riconciliati senza prova bancaria. I 287 record storici non condividono periodo, dipendente o filename con i 1.029 nuovi documenti e sono stati conservati.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 bonifici sono importati per hash e associati a salari o altre entità solo quando il motore restituisce un match certo. Gli esiti incompleti restano da verificare.</w:t>
      </w:r>
    </w:p>
    <w:p>
      <w:pPr>
        <w:spacing w:after="40"/>
      </w:pPr>
    </w:p>
    <w:p>
      <w:pPr>
        <w:pStyle w:val="Heading2"/>
        <w:pStyle w:val="Heading2"/>
      </w:pPr>
      <w:r>
        <w:t xml:space="preserve">Banca e assegni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collaudo controlla: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movimenti di estratto conto mancanti, riutilizzati o duplicati;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fatture segnate pagate senza prova bancaria;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assegni incassati senza beneficiario, fattura o movimento bancario valido;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stipendi riconciliati senza bonifico;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coerenza POS tra chiusura manuale, corrispettivi XML e accredito banca.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Gli importi simili, da soli, non autorizzano alcun collegamento.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controllo di produzione ha inoltre separato due casi prima confusi dallo stesso contatore: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23 righe generiche di prima nota duplicavano altrettante righe già collegate alla fattura; sono state messe in stato cancellato logico, conservando la riga probatoria e quindi la possibilità di recupero;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quattro movimenti erano pagamenti cumulativi validi su più fatture: ogni quota è collegata a una fattura diversa e la somma coincide al centesimo con l'unico movimento di estratto conto; sono stati correttamente conservati.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Dopo la pulizia risultano zero collegamenti a movimenti bancari inesistenti, zero duplicazioni bancarie attive e zero fatture pagate con movimento cancellato.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Controlli automatici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job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collaudo_invarianti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è già pianificato ogni notte alle 04:30. Salva un report in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collaudo_report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, apre o aggiorna alert idempotenti e chiude l'alert quando la regola torna pulita. Il controllo è di sola lettura e non corregge dati in silenzio.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È stata aggiunta la regola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fatture_iva_classificazione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, che segnala: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IVA detraibile negativa;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IVA detraibile superiore all'IVA del documento;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fatture operative senza valore detraibile esplicito;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fatture ancora in stato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DA_VERIFICARE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Flusso operativo obbligatorio</w:t>
      </w:r>
    </w:p>
    <w:p>
      <w:pPr>
        <w:spacing w:after="40"/>
      </w:pP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Drive / email / upload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        ↓ hash e provenienza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documents_inbox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        ↓ parser specifico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entità canonica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        ↓ matching certo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relazioni e prima nota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collaudo notturno + alert + report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Regole:</w:t>
      </w:r>
    </w:p>
    <w:p>
      <w:pPr>
        <w:spacing w:after="40"/>
      </w:pP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Documenti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è l'unico punto d'ingresso.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Conservare hash, sorgente, identificativo Drive e data d'importazione.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Non creare relazioni basate soltanto sull'importo.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Non cancellare un originale senza certezza e possibilità di recupero.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Gli errori del parser restano visibili nello stato dedicato.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Ogni ricalcolo massivo richiede simulazione, manifest e verifica indipendente.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Collaudo e comandi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Test backend mirati:</w:t>
      </w:r>
    </w:p>
    <w:p>
      <w:pPr>
        <w:spacing w:after="40"/>
      </w:pP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python -m pytest tests/test_collaudo_invarianti.py tests/test_iva_fatture.py tests/test_liquidazione_iva_engine.py tests/test_p0_08_f24_parser_contract.py tests/test_p1_cedolini.py -q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Build frontend:</w:t>
      </w:r>
    </w:p>
    <w:p>
      <w:pPr>
        <w:spacing w:after="40"/>
      </w:pP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pStyle w:val="Code"/>
      </w:pPr>
      <w:r>
        <w:rPr>
          <w:rFonts w:ascii="Consolas" w:cs="Consolas" w:eastAsia="Consolas" w:hAnsi="Consolas"/>
          <w:sz w:val="18"/>
          <w:szCs w:val="18"/>
        </w:rPr>
        <w:t xml:space="preserve">npm.cmd run build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Il bundle locale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frontend/dist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non va pubblicato: Render compila il frontend dalla sorgente.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Esito dell'ultima suite completa: 990 test superati, due saltati e nessun errore. Gli avvisi residui riguardano principalmente API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datetime.utcnow()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 deprecate e non modificano l'esito funzionale.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Esito del collaudo di produzione </w:t>
      </w:r>
      <w:r>
        <w:rPr>
          <w:rFonts w:ascii="Consolas" w:cs="Consolas" w:eastAsia="Consolas" w:hAnsi="Consolas"/>
          <w:color w:val="0F4C5C"/>
          <w:sz w:val="19"/>
          <w:szCs w:val="19"/>
          <w:shd w:fill="E8F3F5" w:val="clear"/>
        </w:rPr>
        <w:t xml:space="preserve">collaudo-20260805-040824</w:t>
      </w:r>
      <w:r>
        <w:rPr>
          <w:rFonts w:ascii="Arial" w:cs="Arial" w:eastAsia="Arial" w:hAnsi="Arial"/>
          <w:color w:val="263238"/>
          <w:sz w:val="21"/>
          <w:szCs w:val="21"/>
        </w:rPr>
        <w:t xml:space="preserve">: 15 controlli eseguiti, nessun controllo in errore, 12 controlli completamente puliti e tre aree aperte esclusivamente per verifica documentale o riconciliazione assistita.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Limiti e rischi residui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La pulizia delle copie Drive è bloccata finché non viene concessa l'autorizzazione in scrittura.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I 610 PDF fiscali non riconosciuti richiedono un parser aggiuntivo o verifica manuale.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Le 1.358 fatture con detraibilità non classificata non producono credito IVA finché non vengono confermate.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Le quietanze senza F24 corrispondente provano il pagamento, ma non autorizzano la ricostruzione dei dettagli del modello.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Le differenze fra totale fattura, imponibile e IVA possono includere ritenute, bollo, cassa previdenziale o arrotondamenti e non sono corrette automaticamente.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I collegamenti banca risultano ora puliti. Restano 65 giornate con scostamento POS/XML/banca da verificare sulle chiusure e sugli accrediti effettivi.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263238"/>
          <w:sz w:val="21"/>
          <w:szCs w:val="21"/>
        </w:rPr>
        <w:t xml:space="preserve">I 294 rilievi sugli assegni corrispondono a 147 assegni che presentano due dati mancanti ciascuno: beneficiario e fattura collegata. Non vengono completati per supposizione.</w:t>
      </w:r>
    </w:p>
    <w:p>
      <w:pPr>
        <w:spacing w:after="40"/>
      </w:pPr>
    </w:p>
    <w:p>
      <w:pPr>
        <w:pStyle w:val="Heading1"/>
        <w:pStyle w:val="Heading1"/>
        <w:pageBreakBefore/>
      </w:pPr>
      <w:r>
        <w:t xml:space="preserve">Recovery</w:t>
      </w:r>
    </w:p>
    <w:p>
      <w:pPr>
        <w:spacing w:after="40"/>
      </w:pPr>
    </w:p>
    <w:p>
      <w:r>
        <w:rPr>
          <w:rFonts w:ascii="Arial" w:cs="Arial" w:eastAsia="Arial" w:hAnsi="Arial"/>
          <w:color w:val="263238"/>
          <w:sz w:val="21"/>
          <w:szCs w:val="21"/>
        </w:rPr>
        <w:t xml:space="preserve">Manifest, inventari, database OCR e backup delle operazioni massive sono conservati nell'area audit privata locale, fuori dal repository. Non devono essere pubblicati perché possono contenere riferimenti a documenti aziendali.</w:t>
      </w:r>
    </w:p>
    <w:p>
      <w:pPr>
        <w:spacing w:after="40"/>
      </w:pP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E3E8" w:sz="4" w:space="4"/>
      </w:pBdr>
      <w:jc w:val="center"/>
    </w:pPr>
    <w:r>
      <w:rPr>
        <w:rFonts w:ascii="Arial" w:cs="Arial" w:eastAsia="Arial" w:hAnsi="Arial"/>
        <w:color w:val="607D8B"/>
        <w:sz w:val="16"/>
        <w:szCs w:val="16"/>
      </w:rPr>
      <w:t xml:space="preserve">Uso interno | Pagina </w:t>
    </w:r>
    <w:r>
      <w:rPr>
        <w:rFonts w:ascii="Arial" w:cs="Arial" w:eastAsia="Arial" w:hAnsi="Arial"/>
        <w:color w:val="607D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07D8B"/>
        <w:sz w:val="16"/>
        <w:szCs w:val="16"/>
      </w:rPr>
      <w:t xml:space="preserve"> di </w:t>
    </w:r>
    <w:r>
      <w:rPr>
        <w:rFonts w:ascii="Arial" w:cs="Arial" w:eastAsia="Arial" w:hAnsi="Arial"/>
        <w:color w:val="607D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7E3E8" w:sz="4" w:space="4"/>
      </w:pBdr>
      <w:jc w:val="right"/>
    </w:pPr>
    <w:r>
      <w:rPr>
        <w:rFonts w:ascii="Arial" w:cs="Arial" w:eastAsia="Arial" w:hAnsi="Arial"/>
        <w:b/>
        <w:bCs/>
        <w:color w:val="607D8B"/>
        <w:sz w:val="16"/>
        <w:szCs w:val="16"/>
      </w:rPr>
      <w:t xml:space="preserve">GESTIONALE CLOUD | AUDIT CONTABILE E DOCUMENTALE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20" w:hanging="260"/>
      </w:pPr>
      <w:rPr>
        <w:rFonts w:ascii="Arial" w:cs="Arial" w:eastAsia="Arial" w:hAnsi="Arial"/>
        <w:color w:val="2A7F9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  <w:rPr>
        <w:rFonts w:ascii="Arial" w:cs="Arial" w:eastAsia="Arial" w:hAnsi="Arial"/>
        <w:color w:val="2A7F9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238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00" w:before="160"/>
      <w:jc w:val="center"/>
    </w:pPr>
    <w:rPr>
      <w:rFonts w:ascii="Arial" w:cs="Arial" w:eastAsia="Arial" w:hAnsi="Arial"/>
      <w:b/>
      <w:bCs/>
      <w:color w:val="12304A"/>
      <w:sz w:val="42"/>
      <w:szCs w:val="42"/>
    </w:rPr>
  </w:style>
  <w:style w:type="paragraph" w:styleId="TOCHeading">
    <w:name w:val="TOC Heading"/>
    <w:basedOn w:val="Normal"/>
    <w:next w:val="Normal"/>
    <w:qFormat/>
    <w:pPr>
      <w:keepNext/>
      <w:spacing w:after="120" w:before="260"/>
    </w:pPr>
    <w:rPr>
      <w:rFonts w:ascii="Arial" w:cs="Arial" w:eastAsia="Arial" w:hAnsi="Arial"/>
      <w:b/>
      <w:bCs/>
      <w:color w:val="12304A"/>
      <w:sz w:val="30"/>
      <w:szCs w:val="30"/>
    </w:rPr>
  </w:style>
  <w:style w:type="paragraph" w:styleId="Heading1">
    <w:name w:val="Heading 1"/>
    <w:basedOn w:val="Normal"/>
    <w:next w:val="Normal"/>
    <w:qFormat/>
    <w:pPr>
      <w:keepNext/>
      <w:spacing w:after="120" w:before="260"/>
      <w:outlineLvl w:val="0"/>
    </w:pPr>
    <w:rPr>
      <w:rFonts w:ascii="Arial" w:cs="Arial" w:eastAsia="Arial" w:hAnsi="Arial"/>
      <w:b/>
      <w:bCs/>
      <w:color w:val="12304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2A6F89"/>
      <w:sz w:val="25"/>
      <w:szCs w:val="25"/>
    </w:rPr>
  </w:style>
  <w:style w:type="paragraph" w:styleId="Code">
    <w:name w:val="Code"/>
    <w:basedOn w:val="Normal"/>
    <w:next w:val="Code"/>
    <w:pPr>
      <w:shd w:fill="F2F6F8" w:val="clear"/>
      <w:spacing w:after="0" w:before="0"/>
      <w:ind w:left="280" w:right="180"/>
    </w:pPr>
    <w:rPr>
      <w:rFonts w:ascii="Consolas" w:cs="Consolas" w:eastAsia="Consolas" w:hAnsi="Consolas"/>
      <w:color w:val="17324D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PDF, IVA e qualit? dei dati</dc:title>
  <dc:subject>Collaudo end-to-end Gestionale Cloud</dc:subject>
  <dc:creator>Ceraldi Group SRL</dc:creator>
  <cp:keywords>Gestionale Cloud, audit, IVA, banca, assegni, PDF</cp:keywords>
  <dc:description>Rapporto privo di dati aziendali di dettaglio e credenziali.</dc:description>
  <cp:lastModifiedBy>Un-named</cp:lastModifiedBy>
  <cp:revision>1</cp:revision>
  <dcterms:created xsi:type="dcterms:W3CDTF">2026-08-05T04:15:51.870Z</dcterms:created>
  <dcterms:modified xsi:type="dcterms:W3CDTF">2026-08-05T04:15:51.871Z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