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PDF, IVA e Qualità dei dati</w:t>
      </w:r>
    </w:p>
    <w:p>
      <w:pPr>
        <w:pBdr>
          <w:bottom w:val="single" w:color="17365D" w:sz="16"/>
        </w:pBdr>
        <w:spacing w:after="420"/>
      </w:pPr>
      <w:r>
        <w:t xml:space="preserve"/>
      </w:r>
    </w:p>
    <w:p>
      <w:pPr>
        <w:spacing w:after="140" w:line="300"/>
        <w:rPr>
          <w:b/>
          <w:bCs/>
          <w:color w:val="17365D"/>
          <w:sz w:val="27"/>
          <w:szCs w:val="27"/>
        </w:rPr>
      </w:pPr>
      <w:r>
        <w:rPr>
          <w:b/>
          <w:bCs/>
          <w:color w:val="17365D"/>
          <w:sz w:val="27"/>
          <w:szCs w:val="27"/>
        </w:rPr>
        <w:t xml:space="preserve">Collaudo professionale end-to-end del Gestionale Cloud</w:t>
      </w:r>
    </w:p>
    <w:p>
      <w:pPr>
        <w:spacing w:after="140" w:line="300"/>
        <w:rPr>
          <w:color w:val="687386"/>
        </w:rPr>
      </w:pPr>
      <w:r>
        <w:rPr>
          <w:color w:val="687386"/>
          <w:sz w:val="21"/>
          <w:szCs w:val="21"/>
        </w:rPr>
        <w:t xml:space="preserve">Versione 1.0  •  5 agosto 2026</w:t>
      </w:r>
    </w:p>
    <w:p>
      <w:pPr>
        <w:spacing w:after="140" w:line="300"/>
        <w:rPr>
          <w:b/>
          <w:bCs/>
          <w:color w:val="A61B1B"/>
        </w:rPr>
      </w:pPr>
      <w:r>
        <w:rPr>
          <w:b/>
          <w:bCs/>
          <w:color w:val="A61B1B"/>
          <w:sz w:val="21"/>
          <w:szCs w:val="21"/>
        </w:rPr>
        <w:t xml:space="preserve">Classificazione: uso interno riservato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Il rapporto contiene esclusivamente risultati aggregati. Nomi, documenti, credenziali, identificativi bancari e dati personali non sono inclusi.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1. Sintesi esecutiva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L’audit ha censito l’intero perimetro Drive indicato, estratto testo e OCR dai PDF, confrontato i documenti con le entità MongoDB e corretto due rischi applicativi: l’attribuzione automatica dell’IVA esposta come credito detraibile e la deduplica troppo aggressiva dei cedolini nello stesso mese.</w:t>
      </w:r>
    </w:p>
    <w:tbl>
      <w:tblPr>
        <w:tblW w:type="dxa" w:w="9000"/>
        <w:tblBorders>
          <w:top w:val="single" w:color="B5C1CF" w:sz="4"/>
          <w:left w:val="single" w:color="B5C1CF" w:sz="4"/>
          <w:bottom w:val="single" w:color="B5C1CF" w:sz="4"/>
          <w:right w:val="single" w:color="B5C1CF" w:sz="4"/>
          <w:insideH w:val="single" w:color="D5DCE5" w:sz="3"/>
          <w:insideV w:val="single" w:color="D5DCE5" w:sz="3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6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Esito verificato</w:t>
            </w:r>
          </w:p>
        </w:tc>
      </w:tr>
      <w:t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Documenti</w:t>
            </w:r>
          </w:p>
        </w:tc>
        <w:tc>
          <w:tcPr>
            <w:tcW w:type="dxa" w:w="6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13.702 file censiti; 10.326 PDF; 4.330 contenuti PDF unici</w:t>
            </w:r>
          </w:p>
        </w:tc>
      </w:tr>
      <w:t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OCR</w:t>
            </w:r>
          </w:p>
        </w:tc>
        <w:tc>
          <w:tcPr>
            <w:tcW w:type="dxa" w:w="6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4.276 PDF nativi; 47 OCR riusciti; 1 da revisione; 6 file non leggibili</w:t>
            </w:r>
          </w:p>
        </w:tc>
      </w:tr>
      <w:t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IVA</w:t>
            </w:r>
          </w:p>
        </w:tc>
        <w:tc>
          <w:tcPr>
            <w:tcW w:type="dxa" w:w="6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1.567 fatture ricalcolate; credito ammesso solo se classificato</w:t>
            </w:r>
          </w:p>
        </w:tc>
      </w:tr>
      <w:t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F24 / quietanze</w:t>
            </w:r>
          </w:p>
        </w:tc>
        <w:tc>
          <w:tcPr>
            <w:tcW w:type="dxa" w:w="6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48 F24 e 130 quietanze importati; 2 collegamenti certi</w:t>
            </w:r>
          </w:p>
        </w:tc>
      </w:tr>
      <w:tr>
        <w:tc>
          <w:tcPr>
            <w:tcW w:type="dxa" w:w="2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Duplicati Drive</w:t>
            </w:r>
          </w:p>
        </w:tc>
        <w:tc>
          <w:tcPr>
            <w:tcW w:type="dxa" w:w="6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2.530 copie identiche nella stessa cartella individuate; nessuna cancellazione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7365D"/>
        </w:rPr>
        <w:t xml:space="preserve">2. Metodo e catena di custodia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Inventario paginato delle 26 radici Drive, con identificativo, cartella, dimensione e hash MD5.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Download una sola volta per contenuto univoco; testo, metadati e stato di estrazione in database SQLite privato.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OCR locale per i documenti immagine, senza invio del contenuto a servizi esterni.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Confronto per hash con Documenti e con le collezioni canoniche del gestionale.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Simulazione, manifest, applicazione idempotente e verifica indipendente per ogni modifica massiva.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Le copie in cartelle diverse sono conservate perché possono rappresentare stati di lavorazione o provenienze differenti. L’hash prova l’identità del contenuto, non l’inutilità della copia nel processo.</w:t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3. Risultati PDF e duplicati</w:t>
      </w:r>
    </w:p>
    <w:tbl>
      <w:tblPr>
        <w:tblW w:type="dxa" w:w="9000"/>
        <w:tblBorders>
          <w:top w:val="single" w:color="B5C1CF" w:sz="4"/>
          <w:left w:val="single" w:color="B5C1CF" w:sz="4"/>
          <w:bottom w:val="single" w:color="B5C1CF" w:sz="4"/>
          <w:right w:val="single" w:color="B5C1CF" w:sz="4"/>
          <w:insideH w:val="single" w:color="D5DCE5" w:sz="3"/>
          <w:insideV w:val="single" w:color="D5DCE5" w:sz="3"/>
        </w:tblBorders>
      </w:tblPr>
      <w:tblGrid>
        <w:gridCol w:w="5200"/>
        <w:gridCol w:w="3800"/>
      </w:tblGrid>
      <w:tr>
        <w:trPr>
          <w:tblHeader/>
        </w:trPr>
        <w:tc>
          <w:tcPr>
            <w:tcW w:type="dxa" w:w="5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Indicatore</w:t>
            </w:r>
          </w:p>
        </w:tc>
        <w:tc>
          <w:tcPr>
            <w:tcW w:type="dxa" w:w="38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5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Radici Drive</w:t>
            </w:r>
          </w:p>
        </w:tc>
        <w:tc>
          <w:tcPr>
            <w:tcW w:type="dxa" w:w="3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5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File totali</w:t>
            </w:r>
          </w:p>
        </w:tc>
        <w:tc>
          <w:tcPr>
            <w:tcW w:type="dxa" w:w="3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13.702</w:t>
            </w:r>
          </w:p>
        </w:tc>
      </w:tr>
      <w:tr>
        <w:tc>
          <w:tcPr>
            <w:tcW w:type="dxa" w:w="5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PDF totali</w:t>
            </w:r>
          </w:p>
        </w:tc>
        <w:tc>
          <w:tcPr>
            <w:tcW w:type="dxa" w:w="3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10.326</w:t>
            </w:r>
          </w:p>
        </w:tc>
      </w:tr>
      <w:tr>
        <w:tc>
          <w:tcPr>
            <w:tcW w:type="dxa" w:w="5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PDF unici per hash</w:t>
            </w:r>
          </w:p>
        </w:tc>
        <w:tc>
          <w:tcPr>
            <w:tcW w:type="dxa" w:w="3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4.330</w:t>
            </w:r>
          </w:p>
        </w:tc>
      </w:tr>
      <w:tr>
        <w:tc>
          <w:tcPr>
            <w:tcW w:type="dxa" w:w="5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Pagine analizzate</w:t>
            </w:r>
          </w:p>
        </w:tc>
        <w:tc>
          <w:tcPr>
            <w:tcW w:type="dxa" w:w="3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9.874</w:t>
            </w:r>
          </w:p>
        </w:tc>
      </w:tr>
      <w:tr>
        <w:tc>
          <w:tcPr>
            <w:tcW w:type="dxa" w:w="5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Gruppi duplicati stessa cartella</w:t>
            </w:r>
          </w:p>
        </w:tc>
        <w:tc>
          <w:tcPr>
            <w:tcW w:type="dxa" w:w="3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1.903</w:t>
            </w:r>
          </w:p>
        </w:tc>
      </w:tr>
      <w:tr>
        <w:tc>
          <w:tcPr>
            <w:tcW w:type="dxa" w:w="5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Copie eccedenti stessa cartella</w:t>
            </w:r>
          </w:p>
        </w:tc>
        <w:tc>
          <w:tcPr>
            <w:tcW w:type="dxa" w:w="3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2.530</w:t>
            </w:r>
          </w:p>
        </w:tc>
      </w:tr>
    </w:tbl>
    <w:p>
      <w:pPr>
        <w:spacing w:after="140" w:line="300"/>
      </w:pPr>
      <w:r>
        <w:rPr>
          <w:color w:val="202833"/>
          <w:sz w:val="21"/>
          <w:szCs w:val="21"/>
        </w:rPr>
        <w:t xml:space="preserve">La pulizia Drive non è stata eseguita: l’identità disponibile consente la lettura ma non lo spostamento nel cestino. La lista esatta resta nell’area audit privata e potrà essere applicata dopo una nuova autorizzazione con permessi di scrittura.</w:t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4. Correzione IVA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Prima della correzione, più punti del backend usavano l’IVA totale della fattura quando il valore detraibile mancava. Questo poteva sovrastimare il credito. La regola è ora fail-closed: l’IVA del documento è informativa, mentre il credito entra in liquidazione soltanto dopo classificazione esplicita.</w:t>
      </w:r>
    </w:p>
    <w:tbl>
      <w:tblPr>
        <w:tblW w:type="dxa" w:w="9000"/>
        <w:tblBorders>
          <w:top w:val="single" w:color="B5C1CF" w:sz="4"/>
          <w:left w:val="single" w:color="B5C1CF" w:sz="4"/>
          <w:bottom w:val="single" w:color="B5C1CF" w:sz="4"/>
          <w:right w:val="single" w:color="B5C1CF" w:sz="4"/>
          <w:insideH w:val="single" w:color="D5DCE5" w:sz="3"/>
          <w:insideV w:val="single" w:color="D5DCE5" w:sz="3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Stato dopo ricalcolo</w:t>
            </w:r>
          </w:p>
        </w:tc>
        <w:tc>
          <w:tcPr>
            <w:tcW w:type="dxa" w:w="18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Fatture</w:t>
            </w:r>
          </w:p>
        </w:tc>
        <w:tc>
          <w:tcPr>
            <w:tcW w:type="dxa" w:w="4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Trattamento</w:t>
            </w:r>
          </w:p>
        </w:tc>
      </w:tr>
      <w:tr>
        <w:tc>
          <w:tcPr>
            <w:tcW w:type="dxa" w:w="30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DA_INSERIRE</w:t>
            </w:r>
          </w:p>
        </w:tc>
        <w:tc>
          <w:tcPr>
            <w:tcW w:type="dxa" w:w="1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180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IVA classificata e disponibile secondo le regole del periodo</w:t>
            </w:r>
          </w:p>
        </w:tc>
      </w:tr>
      <w:tr>
        <w:tc>
          <w:tcPr>
            <w:tcW w:type="dxa" w:w="30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DA_VERIFICARE</w:t>
            </w:r>
          </w:p>
        </w:tc>
        <w:tc>
          <w:tcPr>
            <w:tcW w:type="dxa" w:w="1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1.387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Esclusa dal credito fino a conferma</w:t>
            </w:r>
          </w:p>
        </w:tc>
      </w:tr>
      <w:tr>
        <w:tc>
          <w:tcPr>
            <w:tcW w:type="dxa" w:w="30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Totale</w:t>
            </w:r>
          </w:p>
        </w:tc>
        <w:tc>
          <w:tcPr>
            <w:tcW w:type="dxa" w:w="1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1.567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Tutte con periodo IVA attribuito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Dashboard, bilancio, finanziaria, scadenze, piano dei conti, report, export del commercialista e liquidazioni usano soltanto IVA classificata.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La partita doppia non crea credito IVA se la detraibilita non e stata ancora confermata.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Valori negativi o superiori all’IVA del documento generano una violazione di collaudo.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Il job notturno segnala le classificazioni ancora irrisolte.</w:t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5. F24 e quietanze</w:t>
      </w:r>
    </w:p>
    <w:tbl>
      <w:tblPr>
        <w:tblW w:type="dxa" w:w="9000"/>
        <w:tblBorders>
          <w:top w:val="single" w:color="B5C1CF" w:sz="4"/>
          <w:left w:val="single" w:color="B5C1CF" w:sz="4"/>
          <w:bottom w:val="single" w:color="B5C1CF" w:sz="4"/>
          <w:right w:val="single" w:color="B5C1CF" w:sz="4"/>
          <w:insideH w:val="single" w:color="D5DCE5" w:sz="3"/>
          <w:insideV w:val="single" w:color="D5DCE5" w:sz="3"/>
        </w:tblBorders>
      </w:tblPr>
      <w:tblGrid>
        <w:gridCol w:w="2300"/>
        <w:gridCol w:w="1500"/>
        <w:gridCol w:w="1800"/>
        <w:gridCol w:w="3400"/>
      </w:tblGrid>
      <w:tr>
        <w:trPr>
          <w:tblHeader/>
        </w:trPr>
        <w:tc>
          <w:tcPr>
            <w:tcW w:type="dxa" w:w="23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15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Validi</w:t>
            </w:r>
          </w:p>
        </w:tc>
        <w:tc>
          <w:tcPr>
            <w:tcW w:type="dxa" w:w="18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 revisione</w:t>
            </w:r>
          </w:p>
        </w:tc>
        <w:tc>
          <w:tcPr>
            <w:tcW w:type="dxa" w:w="34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Azione</w:t>
            </w:r>
          </w:p>
        </w:tc>
      </w:tr>
      <w:tr>
        <w:tc>
          <w:tcPr>
            <w:tcW w:type="dxa" w:w="23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F24</w:t>
            </w:r>
          </w:p>
        </w:tc>
        <w:tc>
          <w:tcPr>
            <w:tcW w:type="dxa" w:w="15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48</w:t>
            </w:r>
          </w:p>
        </w:tc>
        <w:tc>
          <w:tcPr>
            <w:tcW w:type="dxa" w:w="1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Import dei soli validi in f24_unificato</w:t>
            </w:r>
          </w:p>
        </w:tc>
      </w:tr>
      <w:tr>
        <w:tc>
          <w:tcPr>
            <w:tcW w:type="dxa" w:w="23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Quietanze</w:t>
            </w:r>
          </w:p>
        </w:tc>
        <w:tc>
          <w:tcPr>
            <w:tcW w:type="dxa" w:w="15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130</w:t>
            </w:r>
          </w:p>
        </w:tc>
        <w:tc>
          <w:tcPr>
            <w:tcW w:type="dxa" w:w="18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598</w:t>
            </w:r>
          </w:p>
        </w:tc>
        <w:tc>
          <w:tcPr>
            <w:tcW w:type="dxa" w:w="34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Import dei soli validi in quietanze_f24</w:t>
            </w:r>
          </w:p>
        </w:tc>
      </w:tr>
    </w:tbl>
    <w:p>
      <w:pPr>
        <w:spacing w:after="140" w:line="300"/>
      </w:pPr>
      <w:r>
        <w:rPr>
          <w:color w:val="202833"/>
          <w:sz w:val="21"/>
          <w:szCs w:val="21"/>
        </w:rPr>
        <w:t xml:space="preserve">Tutti i 178 documenti validi sono transitati da Documenti con hash e provenienza. Due quietanze hanno trovato un modello F24 corrispondente certo. Le altre 128 restano prove di pagamento non associate e generano un alert; il sistema non ricostruisce mai il modello dalla sola quietanza.</w:t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6. Cedolini, bonifici, banca e assegni</w:t>
      </w:r>
    </w:p>
    <w:p>
      <w:pPr>
        <w:pStyle w:val="Heading2"/>
        <w:spacing w:after="140" w:before="220"/>
      </w:pPr>
      <w:r>
        <w:rPr>
          <w:b/>
          <w:bCs/>
          <w:color w:val="17365D"/>
        </w:rPr>
        <w:t xml:space="preserve">Cedolini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La chiave di deduplica include ora tipo, datore di lavoro e hash o firma economico-lavorativa. Documenti diversi dello stesso dipendente e mese vengono conservati.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La coda controllata ha elaborato 1.029 PDF senza errori. Lo stato finale contiene 1.316 cedolini e 1.316 righe di prima nota salari, senza chiavi duplicate, collegamenti orfani o salari riconciliati senza prova bancaria.</w:t>
      </w:r>
    </w:p>
    <w:p>
      <w:pPr>
        <w:pStyle w:val="Heading2"/>
        <w:spacing w:after="140" w:before="220"/>
      </w:pPr>
      <w:r>
        <w:rPr>
          <w:b/>
          <w:bCs/>
          <w:color w:val="17365D"/>
        </w:rPr>
        <w:t xml:space="preserve">Bonifici e banca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I bonifici sono associati soltanto quando il motore restituisce un match certo. Le commissioni bancarie ignorate sono distinte dalle riconciliazioni mancanti; gli importi simili non costituiscono prova sufficiente.</w:t>
      </w:r>
    </w:p>
    <w:p>
      <w:pPr>
        <w:pStyle w:val="Heading2"/>
        <w:spacing w:after="140" w:before="220"/>
      </w:pPr>
      <w:r>
        <w:rPr>
          <w:b/>
          <w:bCs/>
          <w:color w:val="17365D"/>
        </w:rPr>
        <w:t xml:space="preserve">Assegni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Il collaudo verifica beneficiario, fattura, prova bancaria, movimento riutilizzato e stato di incasso. Nessun assegno è corretto automaticamente senza evidenza documentale.</w:t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7. Controlli automatici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Il job collaudo_invarianti è già attivo ogni notte alle 04:30. Registra il report in collaudo_report, apre o aggiorna alert idempotenti e risolve l’alert quando l’invariante torna pulita.</w:t>
      </w:r>
    </w:p>
    <w:tbl>
      <w:tblPr>
        <w:tblW w:type="dxa" w:w="9000"/>
        <w:tblBorders>
          <w:top w:val="single" w:color="B5C1CF" w:sz="4"/>
          <w:left w:val="single" w:color="B5C1CF" w:sz="4"/>
          <w:bottom w:val="single" w:color="B5C1CF" w:sz="4"/>
          <w:right w:val="single" w:color="B5C1CF" w:sz="4"/>
          <w:insideH w:val="single" w:color="D5DCE5" w:sz="3"/>
          <w:insideV w:val="single" w:color="D5DCE5" w:sz="3"/>
        </w:tblBorders>
      </w:tblPr>
      <w:tblGrid>
        <w:gridCol w:w="4100"/>
        <w:gridCol w:w="4900"/>
      </w:tblGrid>
      <w:tr>
        <w:trPr>
          <w:tblHeader/>
        </w:trPr>
        <w:tc>
          <w:tcPr>
            <w:tcW w:type="dxa" w:w="41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Controllo</w:t>
            </w:r>
          </w:p>
        </w:tc>
        <w:tc>
          <w:tcPr>
            <w:tcW w:type="dxa" w:w="49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Rischio coperto</w:t>
            </w:r>
          </w:p>
        </w:tc>
      </w:tr>
      <w:tr>
        <w:tc>
          <w:tcPr>
            <w:tcW w:type="dxa" w:w="41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fatture_iva_classificazione</w:t>
            </w:r>
          </w:p>
        </w:tc>
        <w:tc>
          <w:tcPr>
            <w:tcW w:type="dxa" w:w="4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Credito IVA non classificato o importi impossibili</w:t>
            </w:r>
          </w:p>
        </w:tc>
      </w:tr>
      <w:tr>
        <w:tc>
          <w:tcPr>
            <w:tcW w:type="dxa" w:w="41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liquidazioni_iva_integrita</w:t>
            </w:r>
          </w:p>
        </w:tc>
        <w:tc>
          <w:tcPr>
            <w:tcW w:type="dxa" w:w="4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Formula, versioni, saldo, fatture incluse</w:t>
            </w:r>
          </w:p>
        </w:tc>
      </w:tr>
      <w:tr>
        <w:tc>
          <w:tcPr>
            <w:tcW w:type="dxa" w:w="41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assegni_fatture_estratto_conto_integrita</w:t>
            </w:r>
          </w:p>
        </w:tc>
        <w:tc>
          <w:tcPr>
            <w:tcW w:type="dxa" w:w="4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Incassi privi di prova o link rotti</w:t>
            </w:r>
          </w:p>
        </w:tc>
      </w:tr>
      <w:tr>
        <w:tc>
          <w:tcPr>
            <w:tcW w:type="dxa" w:w="41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banca_ec_dangling_o_duplicati</w:t>
            </w:r>
          </w:p>
        </w:tc>
        <w:tc>
          <w:tcPr>
            <w:tcW w:type="dxa" w:w="4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Movimenti inesistenti o riutilizzati</w:t>
            </w:r>
          </w:p>
        </w:tc>
      </w:tr>
      <w:tr>
        <w:tc>
          <w:tcPr>
            <w:tcW w:type="dxa" w:w="41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salari_riconciliati_senza_bonifico</w:t>
            </w:r>
          </w:p>
        </w:tc>
        <w:tc>
          <w:tcPr>
            <w:tcW w:type="dxa" w:w="4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Stipendi senza prova bancaria</w:t>
            </w:r>
          </w:p>
        </w:tc>
      </w:tr>
      <w:tr>
        <w:tc>
          <w:tcPr>
            <w:tcW w:type="dxa" w:w="41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pos_xml_vs_banca_giornaliero</w:t>
            </w:r>
          </w:p>
        </w:tc>
        <w:tc>
          <w:tcPr>
            <w:tcW w:type="dxa" w:w="49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Scostamenti POS, XML e accrediti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7365D"/>
        </w:rPr>
        <w:t xml:space="preserve">8. Rischi residui e azioni</w:t>
      </w:r>
    </w:p>
    <w:tbl>
      <w:tblPr>
        <w:tblW w:type="dxa" w:w="9000"/>
        <w:tblBorders>
          <w:top w:val="single" w:color="B5C1CF" w:sz="4"/>
          <w:left w:val="single" w:color="B5C1CF" w:sz="4"/>
          <w:bottom w:val="single" w:color="B5C1CF" w:sz="4"/>
          <w:right w:val="single" w:color="B5C1CF" w:sz="4"/>
          <w:insideH w:val="single" w:color="D5DCE5" w:sz="3"/>
          <w:insideV w:val="single" w:color="D5DCE5" w:sz="3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36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Rischio</w:t>
            </w:r>
          </w:p>
        </w:tc>
        <w:tc>
          <w:tcPr>
            <w:tcW w:type="dxa" w:w="4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Azione richiesta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Alta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1.358 fatture con IVA da verificare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Classificazione fiscale assistita e conferma del contabile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Alta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294 anomalie assegni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Verificare beneficiario, fattura e prova bancaria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Alta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33 anomalie collegamenti banca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Riconciliare o correggere i riferimenti con evidenza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Media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64 scostamenti POS / XML / banca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Verificare chiusure giornaliere e accrediti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Alta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128 quietanze senza F24 corrispondente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Caricare o identificare il modello esatto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Media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610 PDF fiscali non riconosciuti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Parser aggiuntivo o revisione manuale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Media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2.530 copie Drive non rimovibili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Riautorizzare Drive in scrittura e spostare nel cestino</w:t>
            </w:r>
          </w:p>
        </w:tc>
      </w:tr>
      <w:tr>
        <w:tc>
          <w:tcPr>
            <w:tcW w:type="dxa" w:w="1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Bassa</w:t>
            </w:r>
          </w:p>
        </w:tc>
        <w:tc>
          <w:tcPr>
            <w:tcW w:type="dxa" w:w="36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6 file tecnicamente non leggibili</w:t>
            </w:r>
          </w:p>
        </w:tc>
        <w:tc>
          <w:tcPr>
            <w:tcW w:type="dxa" w:w="4200"/>
            <w:shd w:fill="F4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02833"/>
                <w:sz w:val="19"/>
                <w:szCs w:val="19"/>
              </w:rPr>
              <w:t xml:space="preserve">Recuperare una copia integra dalla fonte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7365D"/>
        </w:rPr>
        <w:t xml:space="preserve">9. Recovery e sicurezza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Inventari, OCR, manifest e backup sono conservati fuori dal repository nell’area audit privata.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Il file ambiente non è stato copiato, mostrato o versionato.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Nessun PDF reale e nessun dato bancario è stato aggiunto a Git.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 modifiche massime restano identificabili tramite manifest e identificativi tecnici.</w:t>
      </w:r>
    </w:p>
    <w:p>
      <w:pPr>
        <w:pStyle w:val="Heading1"/>
        <w:spacing w:after="140" w:before="320"/>
      </w:pPr>
      <w:r>
        <w:rPr>
          <w:b/>
          <w:bCs/>
          <w:color w:val="17365D"/>
        </w:rPr>
        <w:t xml:space="preserve">10. Evidenze di collaudo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986 test completati, 2 saltati e nessun errore nella suite completa.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Build React/Vite completata con successo.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Import F24 e quietanze verificato per conteggio e hash nelle tre destinazioni.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Ricalcolo IVA verificato su tutte le 1.567 fatture.</w:t>
      </w:r>
    </w:p>
    <w:p>
      <w:pPr>
        <w:spacing w:after="140" w:line="300"/>
      </w:pPr>
      <w:r>
        <w:rPr>
          <w:color w:val="202833"/>
          <w:sz w:val="21"/>
          <w:szCs w:val="21"/>
        </w:rPr>
        <w:t xml:space="preserve">Il deploy deve avvenire soltanto dopo la suite completa e il controllo del diff Git. I dati da revisione non bloccano il gestionale, ma restano esclusi dalle automazioni contabili che richiedono certezza.</w:t>
      </w:r>
    </w:p>
    <w:sectPr>
      <w:footerReference w:type="default" r:id="rId7"/>
      <w:pgSz w:w="11906" w:h="16838" w:orient="portrait"/>
      <w:pgMar w:top="1200" w:right="1150" w:bottom="12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386"/>
        <w:sz w:val="17"/>
        <w:szCs w:val="17"/>
      </w:rPr>
      <w:t xml:space="preserve">Gestionale Cloud  |  Audit riservato  |  </w:t>
    </w:r>
    <w:r>
      <w:rPr>
        <w:color w:val="68738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028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jc w:val="left"/>
    </w:pPr>
    <w:rPr>
      <w:rFonts w:ascii="Aptos Display" w:cs="Aptos Display" w:eastAsia="Aptos Display" w:hAnsi="Aptos Display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ptos Display" w:cs="Aptos Display" w:eastAsia="Aptos Display" w:hAnsi="Aptos Display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PDF, IVA e Qualità dei dati</dc:title>
  <dc:creator>Gestionale Cloud - Audit tecnico</dc:creator>
  <dc:description>Rapporto professionale end-to-end, privo di dati personali e credenziali.</dc:description>
  <cp:lastModifiedBy>Un-named</cp:lastModifiedBy>
  <cp:revision>1</cp:revision>
  <dcterms:created xsi:type="dcterms:W3CDTF">2026-08-04T23:55:38.574Z</dcterms:created>
  <dcterms:modified xsi:type="dcterms:W3CDTF">2026-08-04T23:55:38.580Z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