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rFonts w:ascii="Arial" w:cs="Arial" w:eastAsia="Arial" w:hAnsi="Arial"/>
          <w:b/>
          <w:bCs/>
          <w:sz w:val="22"/>
          <w:szCs w:val="22"/>
        </w:rPr>
        <w:t xml:space="preserve">MUNICIPALIDAD DISTRITAL DE CHOCO</w:t>
      </w:r>
    </w:p>
    <w:p>
      <w:pPr>
        <w:spacing w:after="200"/>
        <w:jc w:val="center"/>
      </w:pPr>
      <w:r>
        <w:rPr>
          <w:rFonts w:ascii="Arial" w:cs="Arial" w:eastAsia="Arial" w:hAnsi="Arial"/>
          <w:b/>
          <w:bCs/>
          <w:sz w:val="22"/>
          <w:szCs w:val="22"/>
        </w:rPr>
        <w:t xml:space="preserve">COMITÉ DISTRITAL DE SEGURIDAD CIUDADANA (CODISEC) - CHOCO</w:t>
      </w:r>
    </w:p>
    <w:p>
      <w:pPr>
        <w:pBdr>
          <w:bottom w:val="single" w:color="1F3864" w:sz="12" w:space="4"/>
        </w:pBdr>
        <w:spacing w:after="200"/>
      </w:pPr>
    </w:p>
    <w:p>
      <w:pPr>
        <w:spacing w:after="80"/>
        <w:jc w:val="center"/>
      </w:pPr>
      <w:r>
        <w:rPr>
          <w:rFonts w:ascii="Arial" w:cs="Arial" w:eastAsia="Arial" w:hAnsi="Arial"/>
          <w:b/>
          <w:bCs/>
          <w:color w:val="1F3864"/>
          <w:sz w:val="28"/>
          <w:szCs w:val="28"/>
        </w:rPr>
        <w:t xml:space="preserve">ACTA DE SESIÓN EXTRAORDINARIA Nº 003-2026-CODISEC-CHOCO</w:t>
      </w:r>
    </w:p>
    <w:p>
      <w:pPr>
        <w:spacing w:after="300"/>
        <w:jc w:val="center"/>
      </w:pPr>
      <w:r>
        <w:rPr>
          <w:rFonts w:ascii="Arial" w:cs="Arial" w:eastAsia="Arial" w:hAnsi="Arial"/>
          <w:b w:val="false"/>
          <w:bCs w:val="false"/>
          <w:i/>
          <w:iCs/>
          <w:sz w:val="20"/>
          <w:szCs w:val="20"/>
        </w:rPr>
        <w:t xml:space="preserve">Plan de Acción Distrital de Seguridad Ciudadana (PADSC) 2024-2027 — II Trimestre 2026 — Operativo previo al Día del Padre</w:t>
      </w:r>
    </w:p>
    <w:p>
      <w:pPr>
        <w:spacing w:after="120" w:before="280"/>
      </w:pPr>
      <w:r>
        <w:rPr>
          <w:rFonts w:ascii="Arial" w:cs="Arial" w:eastAsia="Arial" w:hAnsi="Arial"/>
          <w:b/>
          <w:bCs/>
          <w:color w:val="1F3864"/>
          <w:sz w:val="22"/>
          <w:szCs w:val="22"/>
        </w:rPr>
        <w:t xml:space="preserve">1. DATOS GENERALES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5%"/>
            <w:shd w:fill="F2F2F2" w:val="clear"/>
            <w:tcMar>
              <w:top w:type="dxa" w:w="60"/>
              <w:left w:type="dxa" w:w="100"/>
              <w:bottom w:type="dxa" w:w="60"/>
              <w:right w:type="dxa" w:w="100"/>
            </w:tcMar>
            <w:vAlign w:val="center"/>
          </w:tcPr>
          <w:p>
            <w:pPr>
              <w:jc w:val="left"/>
            </w:pPr>
            <w:r>
              <w:rPr>
                <w:rFonts w:ascii="Arial" w:cs="Arial" w:eastAsia="Arial" w:hAnsi="Arial"/>
                <w:b/>
                <w:bCs/>
                <w:sz w:val="20"/>
                <w:szCs w:val="20"/>
              </w:rPr>
              <w:t xml:space="preserve">Lugar</w:t>
            </w:r>
          </w:p>
        </w:tc>
        <w:tc>
          <w:tcPr>
            <w:tcW w:type="pct" w:w="75%"/>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Principales establecimientos comerciales (tiendas) y vía pública del distrito de Choco</w:t>
            </w:r>
          </w:p>
        </w:tc>
      </w:tr>
      <w:tr>
        <w:tc>
          <w:tcPr>
            <w:tcW w:type="pct" w:w="25%"/>
            <w:shd w:fill="F2F2F2" w:val="clear"/>
            <w:tcMar>
              <w:top w:type="dxa" w:w="60"/>
              <w:left w:type="dxa" w:w="100"/>
              <w:bottom w:type="dxa" w:w="60"/>
              <w:right w:type="dxa" w:w="100"/>
            </w:tcMar>
            <w:vAlign w:val="center"/>
          </w:tcPr>
          <w:p>
            <w:pPr>
              <w:jc w:val="left"/>
            </w:pPr>
            <w:r>
              <w:rPr>
                <w:rFonts w:ascii="Arial" w:cs="Arial" w:eastAsia="Arial" w:hAnsi="Arial"/>
                <w:b/>
                <w:bCs/>
                <w:sz w:val="20"/>
                <w:szCs w:val="20"/>
              </w:rPr>
              <w:t xml:space="preserve">Fecha</w:t>
            </w:r>
          </w:p>
        </w:tc>
        <w:tc>
          <w:tcPr>
            <w:tcW w:type="pct" w:w="75%"/>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Jueves, 18 de junio de 2026</w:t>
            </w:r>
          </w:p>
        </w:tc>
      </w:tr>
      <w:tr>
        <w:tc>
          <w:tcPr>
            <w:tcW w:type="pct" w:w="25%"/>
            <w:shd w:fill="F2F2F2" w:val="clear"/>
            <w:tcMar>
              <w:top w:type="dxa" w:w="60"/>
              <w:left w:type="dxa" w:w="100"/>
              <w:bottom w:type="dxa" w:w="60"/>
              <w:right w:type="dxa" w:w="100"/>
            </w:tcMar>
            <w:vAlign w:val="center"/>
          </w:tcPr>
          <w:p>
            <w:pPr>
              <w:jc w:val="left"/>
            </w:pPr>
            <w:r>
              <w:rPr>
                <w:rFonts w:ascii="Arial" w:cs="Arial" w:eastAsia="Arial" w:hAnsi="Arial"/>
                <w:b/>
                <w:bCs/>
                <w:sz w:val="20"/>
                <w:szCs w:val="20"/>
              </w:rPr>
              <w:t xml:space="preserve">Hora de inicio</w:t>
            </w:r>
          </w:p>
        </w:tc>
        <w:tc>
          <w:tcPr>
            <w:tcW w:type="pct" w:w="75%"/>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20:00 horas</w:t>
            </w:r>
          </w:p>
        </w:tc>
      </w:tr>
      <w:tr>
        <w:tc>
          <w:tcPr>
            <w:tcW w:type="pct" w:w="25%"/>
            <w:shd w:fill="F2F2F2" w:val="clear"/>
            <w:tcMar>
              <w:top w:type="dxa" w:w="60"/>
              <w:left w:type="dxa" w:w="100"/>
              <w:bottom w:type="dxa" w:w="60"/>
              <w:right w:type="dxa" w:w="100"/>
            </w:tcMar>
            <w:vAlign w:val="center"/>
          </w:tcPr>
          <w:p>
            <w:pPr>
              <w:jc w:val="left"/>
            </w:pPr>
            <w:r>
              <w:rPr>
                <w:rFonts w:ascii="Arial" w:cs="Arial" w:eastAsia="Arial" w:hAnsi="Arial"/>
                <w:b/>
                <w:bCs/>
                <w:sz w:val="20"/>
                <w:szCs w:val="20"/>
              </w:rPr>
              <w:t xml:space="preserve">Hora de cierre</w:t>
            </w:r>
          </w:p>
        </w:tc>
        <w:tc>
          <w:tcPr>
            <w:tcW w:type="pct" w:w="75%"/>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22:00 horas</w:t>
            </w:r>
          </w:p>
        </w:tc>
      </w:tr>
    </w:tbl>
    <w:p>
      <w:pPr>
        <w:spacing w:after="120" w:before="280"/>
      </w:pPr>
      <w:r>
        <w:rPr>
          <w:rFonts w:ascii="Arial" w:cs="Arial" w:eastAsia="Arial" w:hAnsi="Arial"/>
          <w:b/>
          <w:bCs/>
          <w:color w:val="1F3864"/>
          <w:sz w:val="22"/>
          <w:szCs w:val="22"/>
        </w:rPr>
        <w:t xml:space="preserve">2. REGISTRO DE PARTICIPANTES</w:t>
      </w:r>
    </w:p>
    <w:p>
      <w:pPr>
        <w:spacing w:after="160"/>
        <w:jc w:val="both"/>
      </w:pPr>
      <w:r>
        <w:rPr>
          <w:rFonts w:ascii="Arial" w:cs="Arial" w:eastAsia="Arial" w:hAnsi="Arial"/>
          <w:sz w:val="20"/>
          <w:szCs w:val="20"/>
        </w:rPr>
        <w:t xml:space="preserve">Participaron en el operativo los siguientes integrantes del CODISEC - Choco, conforme a la lista de participantes que se adjunta a la presente acta como medio de verificación: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6%"/>
            <w:shd w:fill="D9E2F3" w:val="clear"/>
            <w:tcMar>
              <w:top w:type="dxa" w:w="60"/>
              <w:left w:type="dxa" w:w="100"/>
              <w:bottom w:type="dxa" w:w="60"/>
              <w:right w:type="dxa" w:w="100"/>
            </w:tcMar>
            <w:vAlign w:val="center"/>
          </w:tcPr>
          <w:p>
            <w:pPr>
              <w:jc w:val="center"/>
            </w:pPr>
            <w:r>
              <w:rPr>
                <w:rFonts w:ascii="Arial" w:cs="Arial" w:eastAsia="Arial" w:hAnsi="Arial"/>
                <w:b/>
                <w:bCs/>
                <w:sz w:val="20"/>
                <w:szCs w:val="20"/>
              </w:rPr>
              <w:t xml:space="preserve">N°</w:t>
            </w:r>
          </w:p>
        </w:tc>
        <w:tc>
          <w:tcPr>
            <w:tcW w:type="pct" w:w="28%"/>
            <w:shd w:fill="D9E2F3" w:val="clear"/>
            <w:tcMar>
              <w:top w:type="dxa" w:w="60"/>
              <w:left w:type="dxa" w:w="100"/>
              <w:bottom w:type="dxa" w:w="60"/>
              <w:right w:type="dxa" w:w="100"/>
            </w:tcMar>
            <w:vAlign w:val="center"/>
          </w:tcPr>
          <w:p>
            <w:pPr>
              <w:jc w:val="center"/>
            </w:pPr>
            <w:r>
              <w:rPr>
                <w:rFonts w:ascii="Arial" w:cs="Arial" w:eastAsia="Arial" w:hAnsi="Arial"/>
                <w:b/>
                <w:bCs/>
                <w:sz w:val="20"/>
                <w:szCs w:val="20"/>
              </w:rPr>
              <w:t xml:space="preserve">NOMBRES Y APELLIDOS</w:t>
            </w:r>
          </w:p>
        </w:tc>
        <w:tc>
          <w:tcPr>
            <w:tcW w:type="pct" w:w="18%"/>
            <w:shd w:fill="D9E2F3" w:val="clear"/>
            <w:tcMar>
              <w:top w:type="dxa" w:w="60"/>
              <w:left w:type="dxa" w:w="100"/>
              <w:bottom w:type="dxa" w:w="60"/>
              <w:right w:type="dxa" w:w="100"/>
            </w:tcMar>
            <w:vAlign w:val="center"/>
          </w:tcPr>
          <w:p>
            <w:pPr>
              <w:jc w:val="center"/>
            </w:pPr>
            <w:r>
              <w:rPr>
                <w:rFonts w:ascii="Arial" w:cs="Arial" w:eastAsia="Arial" w:hAnsi="Arial"/>
                <w:b/>
                <w:bCs/>
                <w:sz w:val="20"/>
                <w:szCs w:val="20"/>
              </w:rPr>
              <w:t xml:space="preserve">CARGO</w:t>
            </w:r>
          </w:p>
        </w:tc>
        <w:tc>
          <w:tcPr>
            <w:tcW w:type="pct" w:w="33%"/>
            <w:shd w:fill="D9E2F3" w:val="clear"/>
            <w:tcMar>
              <w:top w:type="dxa" w:w="60"/>
              <w:left w:type="dxa" w:w="100"/>
              <w:bottom w:type="dxa" w:w="60"/>
              <w:right w:type="dxa" w:w="100"/>
            </w:tcMar>
            <w:vAlign w:val="center"/>
          </w:tcPr>
          <w:p>
            <w:pPr>
              <w:jc w:val="center"/>
            </w:pPr>
            <w:r>
              <w:rPr>
                <w:rFonts w:ascii="Arial" w:cs="Arial" w:eastAsia="Arial" w:hAnsi="Arial"/>
                <w:b/>
                <w:bCs/>
                <w:sz w:val="20"/>
                <w:szCs w:val="20"/>
              </w:rPr>
              <w:t xml:space="preserve">INSTITUCIÓN</w:t>
            </w:r>
          </w:p>
        </w:tc>
        <w:tc>
          <w:tcPr>
            <w:tcW w:type="pct" w:w="15%"/>
            <w:shd w:fill="D9E2F3" w:val="clear"/>
            <w:tcMar>
              <w:top w:type="dxa" w:w="60"/>
              <w:left w:type="dxa" w:w="100"/>
              <w:bottom w:type="dxa" w:w="60"/>
              <w:right w:type="dxa" w:w="100"/>
            </w:tcMar>
            <w:vAlign w:val="center"/>
          </w:tcPr>
          <w:p>
            <w:pPr>
              <w:jc w:val="center"/>
            </w:pPr>
            <w:r>
              <w:rPr>
                <w:rFonts w:ascii="Arial" w:cs="Arial" w:eastAsia="Arial" w:hAnsi="Arial"/>
                <w:b/>
                <w:bCs/>
                <w:sz w:val="20"/>
                <w:szCs w:val="20"/>
              </w:rPr>
              <w:t xml:space="preserve">ASISTENCIA</w:t>
            </w:r>
          </w:p>
        </w:tc>
      </w:tr>
      <w:tr>
        <w:tc>
          <w:tcPr>
            <w:tcW w:type="pct" w:w="6%"/>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2</w:t>
            </w:r>
          </w:p>
        </w:tc>
        <w:tc>
          <w:tcPr>
            <w:tcW w:type="pct" w:w="28%"/>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BENJAMIN DOROTEO CHURA ARAGÓN</w:t>
            </w:r>
          </w:p>
        </w:tc>
        <w:tc>
          <w:tcPr>
            <w:tcW w:type="pct" w:w="18%"/>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SECRETARIO TÉCNICO</w:t>
            </w:r>
          </w:p>
        </w:tc>
        <w:tc>
          <w:tcPr>
            <w:tcW w:type="pct" w:w="33%"/>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Secretaría Técnica del CODISEC - Choco</w:t>
            </w:r>
          </w:p>
        </w:tc>
        <w:tc>
          <w:tcPr>
            <w:tcW w:type="pct" w:w="15%"/>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ASISTIÓ</w:t>
            </w:r>
          </w:p>
        </w:tc>
      </w:tr>
      <w:tr>
        <w:tc>
          <w:tcPr>
            <w:tcW w:type="pct" w:w="6%"/>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3</w:t>
            </w:r>
          </w:p>
        </w:tc>
        <w:tc>
          <w:tcPr>
            <w:tcW w:type="pct" w:w="28%"/>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BARRETO CABANA</w:t>
            </w:r>
          </w:p>
        </w:tc>
        <w:tc>
          <w:tcPr>
            <w:tcW w:type="pct" w:w="18%"/>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MIEMBRO</w:t>
            </w:r>
          </w:p>
        </w:tc>
        <w:tc>
          <w:tcPr>
            <w:tcW w:type="pct" w:w="33%"/>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Comisario de la Comisaría Rural Cabanaconde (PNP)</w:t>
            </w:r>
          </w:p>
        </w:tc>
        <w:tc>
          <w:tcPr>
            <w:tcW w:type="pct" w:w="15%"/>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ASISTIÓ</w:t>
            </w:r>
          </w:p>
        </w:tc>
      </w:tr>
      <w:tr>
        <w:tc>
          <w:tcPr>
            <w:tcW w:type="pct" w:w="6%"/>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4</w:t>
            </w:r>
          </w:p>
        </w:tc>
        <w:tc>
          <w:tcPr>
            <w:tcW w:type="pct" w:w="28%"/>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ALEJANDRO CARPIO CHURA</w:t>
            </w:r>
          </w:p>
        </w:tc>
        <w:tc>
          <w:tcPr>
            <w:tcW w:type="pct" w:w="18%"/>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MIEMBRO</w:t>
            </w:r>
          </w:p>
        </w:tc>
        <w:tc>
          <w:tcPr>
            <w:tcW w:type="pct" w:w="33%"/>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Subprefecto del distrito de Choco</w:t>
            </w:r>
          </w:p>
        </w:tc>
        <w:tc>
          <w:tcPr>
            <w:tcW w:type="pct" w:w="15%"/>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ASISTIÓ</w:t>
            </w:r>
          </w:p>
        </w:tc>
      </w:tr>
    </w:tbl>
    <w:p>
      <w:pPr>
        <w:spacing w:after="160"/>
        <w:jc w:val="both"/>
      </w:pPr>
      <w:r>
        <w:rPr>
          <w:rFonts w:ascii="Arial" w:cs="Arial" w:eastAsia="Arial" w:hAnsi="Arial"/>
          <w:i/>
          <w:iCs/>
          <w:sz w:val="20"/>
          <w:szCs w:val="20"/>
        </w:rPr>
        <w:t xml:space="preserve">Asimismo, participaron representantes de las Juntas Vecinales del distrito, cuya identificación consta en la lista de participantes adjunta.</w:t>
      </w:r>
    </w:p>
    <w:p>
      <w:pPr>
        <w:spacing w:after="120" w:before="280"/>
      </w:pPr>
      <w:r>
        <w:rPr>
          <w:rFonts w:ascii="Arial" w:cs="Arial" w:eastAsia="Arial" w:hAnsi="Arial"/>
          <w:b/>
          <w:bCs/>
          <w:color w:val="1F3864"/>
          <w:sz w:val="22"/>
          <w:szCs w:val="22"/>
        </w:rPr>
        <w:t xml:space="preserve">3. AGENDA</w:t>
      </w:r>
    </w:p>
    <w:p>
      <w:pPr>
        <w:spacing w:after="100"/>
        <w:jc w:val="both"/>
      </w:pPr>
      <w:r>
        <w:rPr>
          <w:rFonts w:ascii="Arial" w:cs="Arial" w:eastAsia="Arial" w:hAnsi="Arial"/>
          <w:sz w:val="20"/>
          <w:szCs w:val="20"/>
        </w:rPr>
        <w:t xml:space="preserve">1. Verificación de asistencia y coordinación previa del operativo.</w:t>
      </w:r>
    </w:p>
    <w:p>
      <w:pPr>
        <w:spacing w:after="100"/>
        <w:jc w:val="both"/>
      </w:pPr>
      <w:r>
        <w:rPr>
          <w:rFonts w:ascii="Arial" w:cs="Arial" w:eastAsia="Arial" w:hAnsi="Arial"/>
          <w:sz w:val="20"/>
          <w:szCs w:val="20"/>
        </w:rPr>
        <w:t xml:space="preserve">2. Recorrido de fiscalización en los principales establecimientos comerciales del distrito.</w:t>
      </w:r>
    </w:p>
    <w:p>
      <w:pPr>
        <w:spacing w:after="100"/>
        <w:jc w:val="both"/>
      </w:pPr>
      <w:r>
        <w:rPr>
          <w:rFonts w:ascii="Arial" w:cs="Arial" w:eastAsia="Arial" w:hAnsi="Arial"/>
          <w:sz w:val="20"/>
          <w:szCs w:val="20"/>
        </w:rPr>
        <w:t xml:space="preserve">3. Verificación del cumplimiento de las normas sobre venta y consumo de alcohol en vía pública.</w:t>
      </w:r>
    </w:p>
    <w:p>
      <w:pPr>
        <w:spacing w:after="100"/>
        <w:jc w:val="both"/>
      </w:pPr>
      <w:r>
        <w:rPr>
          <w:rFonts w:ascii="Arial" w:cs="Arial" w:eastAsia="Arial" w:hAnsi="Arial"/>
          <w:sz w:val="20"/>
          <w:szCs w:val="20"/>
        </w:rPr>
        <w:t xml:space="preserve">4. Resultados del operativo.</w:t>
      </w:r>
    </w:p>
    <w:p>
      <w:pPr>
        <w:spacing w:after="100"/>
        <w:jc w:val="both"/>
      </w:pPr>
      <w:r>
        <w:rPr>
          <w:rFonts w:ascii="Arial" w:cs="Arial" w:eastAsia="Arial" w:hAnsi="Arial"/>
          <w:sz w:val="20"/>
          <w:szCs w:val="20"/>
        </w:rPr>
        <w:t xml:space="preserve">5. Acuerdos.</w:t>
      </w:r>
    </w:p>
    <w:p>
      <w:pPr>
        <w:spacing w:after="100"/>
        <w:jc w:val="both"/>
      </w:pPr>
      <w:r>
        <w:rPr>
          <w:rFonts w:ascii="Arial" w:cs="Arial" w:eastAsia="Arial" w:hAnsi="Arial"/>
          <w:sz w:val="20"/>
          <w:szCs w:val="20"/>
        </w:rPr>
        <w:t xml:space="preserve">6. Cierre de la sesión.</w:t>
      </w:r>
    </w:p>
    <w:p>
      <w:pPr>
        <w:spacing w:after="120" w:before="280"/>
      </w:pPr>
      <w:r>
        <w:rPr>
          <w:rFonts w:ascii="Arial" w:cs="Arial" w:eastAsia="Arial" w:hAnsi="Arial"/>
          <w:b/>
          <w:bCs/>
          <w:color w:val="1F3864"/>
          <w:sz w:val="22"/>
          <w:szCs w:val="22"/>
        </w:rPr>
        <w:t xml:space="preserve">4. INFORME DE CUMPLIMIENTO DE ACUERDOS</w:t>
      </w:r>
    </w:p>
    <w:p>
      <w:pPr>
        <w:spacing w:after="160"/>
        <w:jc w:val="both"/>
      </w:pPr>
      <w:r>
        <w:rPr>
          <w:rFonts w:ascii="Arial" w:cs="Arial" w:eastAsia="Arial" w:hAnsi="Arial"/>
          <w:sz w:val="20"/>
          <w:szCs w:val="20"/>
        </w:rPr>
        <w:t xml:space="preserve">Se verificó el cumplimiento del acuerdo adoptado en la Sesión Extraordinaria Nº 002-2026 (Operativo del 09 de mayo de 2026), referido a la reprogramación del presente operativo previo a la celebración del Día del Padre.</w:t>
      </w:r>
    </w:p>
    <w:p>
      <w:pPr>
        <w:spacing w:after="120" w:before="280"/>
      </w:pPr>
      <w:r>
        <w:rPr>
          <w:rFonts w:ascii="Arial" w:cs="Arial" w:eastAsia="Arial" w:hAnsi="Arial"/>
          <w:b/>
          <w:bCs/>
          <w:color w:val="1F3864"/>
          <w:sz w:val="22"/>
          <w:szCs w:val="22"/>
        </w:rPr>
        <w:t xml:space="preserve">5. DESARROLLO DE LA SESIÓN</w:t>
      </w:r>
    </w:p>
    <w:p>
      <w:pPr>
        <w:spacing w:after="160"/>
        <w:jc w:val="both"/>
      </w:pPr>
      <w:r>
        <w:rPr>
          <w:rFonts w:ascii="Arial" w:cs="Arial" w:eastAsia="Arial" w:hAnsi="Arial"/>
          <w:sz w:val="20"/>
          <w:szCs w:val="20"/>
        </w:rPr>
        <w:t xml:space="preserve">En el marco de las acciones preventivas previas a la celebración del Día del Padre (domingo 21 de junio de 2026), el jueves 18 de junio de 2026, a partir de las 20:00 horas, se ejecutó un segundo operativo inopinado de fiscalización contra el consumo de alcohol en la vía pública, con la participación del Gobierno Local, la PNP, la Subprefectura y representantes de las Juntas Vecinales del distrito de Choco.</w:t>
      </w:r>
    </w:p>
    <w:p>
      <w:pPr>
        <w:spacing w:after="160"/>
        <w:jc w:val="both"/>
      </w:pPr>
      <w:r>
        <w:rPr>
          <w:rFonts w:ascii="Arial" w:cs="Arial" w:eastAsia="Arial" w:hAnsi="Arial"/>
          <w:sz w:val="20"/>
          <w:szCs w:val="20"/>
        </w:rPr>
        <w:t xml:space="preserve">El operativo consistió en el recorrido de los principales establecimientos comerciales del distrito, verificando el cumplimiento de las normas municipales y policiales sobre el horario de venta y el consumo de bebidas alcohólicas en espacios públicos.</w:t>
      </w:r>
    </w:p>
    <w:p>
      <w:pPr>
        <w:spacing w:after="160"/>
        <w:jc w:val="both"/>
      </w:pPr>
      <w:r>
        <w:rPr>
          <w:rFonts w:ascii="Arial" w:cs="Arial" w:eastAsia="Arial" w:hAnsi="Arial"/>
          <w:sz w:val="20"/>
          <w:szCs w:val="20"/>
        </w:rPr>
        <w:t xml:space="preserve">Como resultado del operativo, se constató el cumplimiento de las disposiciones vigentes por parte de los establecimientos visitados, sin registrarse incidencias que ameriten la imposición de sanciones. Se exhortó a los propietarios a mantener el cumplimiento de las normas durante la festividad del Día del Padre.</w:t>
      </w:r>
    </w:p>
    <w:p>
      <w:pPr>
        <w:spacing w:after="160"/>
        <w:jc w:val="both"/>
      </w:pPr>
      <w:r>
        <w:rPr>
          <w:rFonts w:ascii="Arial" w:cs="Arial" w:eastAsia="Arial" w:hAnsi="Arial"/>
          <w:sz w:val="20"/>
          <w:szCs w:val="20"/>
        </w:rPr>
        <w:t xml:space="preserve">Con la ejecución del presente operativo, se da por concluida la programación de los dos operativos de fiscalización contra el consumo de alcohol en la vía pública previstos para el II Trimestre 2026.</w:t>
      </w:r>
    </w:p>
    <w:p>
      <w:pPr>
        <w:spacing w:after="120" w:before="280"/>
      </w:pPr>
      <w:r>
        <w:rPr>
          <w:rFonts w:ascii="Arial" w:cs="Arial" w:eastAsia="Arial" w:hAnsi="Arial"/>
          <w:b/>
          <w:bCs/>
          <w:color w:val="1F3864"/>
          <w:sz w:val="22"/>
          <w:szCs w:val="22"/>
        </w:rPr>
        <w:t xml:space="preserve">6. ACUERDOS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6%"/>
            <w:shd w:fill="D9E2F3" w:val="clear"/>
            <w:tcMar>
              <w:top w:type="dxa" w:w="60"/>
              <w:left w:type="dxa" w:w="100"/>
              <w:bottom w:type="dxa" w:w="60"/>
              <w:right w:type="dxa" w:w="100"/>
            </w:tcMar>
            <w:vAlign w:val="center"/>
          </w:tcPr>
          <w:p>
            <w:pPr>
              <w:jc w:val="center"/>
            </w:pPr>
            <w:r>
              <w:rPr>
                <w:rFonts w:ascii="Arial" w:cs="Arial" w:eastAsia="Arial" w:hAnsi="Arial"/>
                <w:b/>
                <w:bCs/>
                <w:sz w:val="20"/>
                <w:szCs w:val="20"/>
              </w:rPr>
              <w:t xml:space="preserve">N°</w:t>
            </w:r>
          </w:p>
        </w:tc>
        <w:tc>
          <w:tcPr>
            <w:tcW w:type="pct" w:w="52%"/>
            <w:shd w:fill="D9E2F3" w:val="clear"/>
            <w:tcMar>
              <w:top w:type="dxa" w:w="60"/>
              <w:left w:type="dxa" w:w="100"/>
              <w:bottom w:type="dxa" w:w="60"/>
              <w:right w:type="dxa" w:w="100"/>
            </w:tcMar>
            <w:vAlign w:val="center"/>
          </w:tcPr>
          <w:p>
            <w:pPr>
              <w:jc w:val="center"/>
            </w:pPr>
            <w:r>
              <w:rPr>
                <w:rFonts w:ascii="Arial" w:cs="Arial" w:eastAsia="Arial" w:hAnsi="Arial"/>
                <w:b/>
                <w:bCs/>
                <w:sz w:val="20"/>
                <w:szCs w:val="20"/>
              </w:rPr>
              <w:t xml:space="preserve">ACUERDO</w:t>
            </w:r>
          </w:p>
        </w:tc>
        <w:tc>
          <w:tcPr>
            <w:tcW w:type="pct" w:w="24%"/>
            <w:shd w:fill="D9E2F3" w:val="clear"/>
            <w:tcMar>
              <w:top w:type="dxa" w:w="60"/>
              <w:left w:type="dxa" w:w="100"/>
              <w:bottom w:type="dxa" w:w="60"/>
              <w:right w:type="dxa" w:w="100"/>
            </w:tcMar>
            <w:vAlign w:val="center"/>
          </w:tcPr>
          <w:p>
            <w:pPr>
              <w:jc w:val="center"/>
            </w:pPr>
            <w:r>
              <w:rPr>
                <w:rFonts w:ascii="Arial" w:cs="Arial" w:eastAsia="Arial" w:hAnsi="Arial"/>
                <w:b/>
                <w:bCs/>
                <w:sz w:val="20"/>
                <w:szCs w:val="20"/>
              </w:rPr>
              <w:t xml:space="preserve">RESPONSABLE</w:t>
            </w:r>
          </w:p>
        </w:tc>
        <w:tc>
          <w:tcPr>
            <w:tcW w:type="pct" w:w="18%"/>
            <w:shd w:fill="D9E2F3" w:val="clear"/>
            <w:tcMar>
              <w:top w:type="dxa" w:w="60"/>
              <w:left w:type="dxa" w:w="100"/>
              <w:bottom w:type="dxa" w:w="60"/>
              <w:right w:type="dxa" w:w="100"/>
            </w:tcMar>
            <w:vAlign w:val="center"/>
          </w:tcPr>
          <w:p>
            <w:pPr>
              <w:jc w:val="center"/>
            </w:pPr>
            <w:r>
              <w:rPr>
                <w:rFonts w:ascii="Arial" w:cs="Arial" w:eastAsia="Arial" w:hAnsi="Arial"/>
                <w:b/>
                <w:bCs/>
                <w:sz w:val="20"/>
                <w:szCs w:val="20"/>
              </w:rPr>
              <w:t xml:space="preserve">PLAZO</w:t>
            </w:r>
          </w:p>
        </w:tc>
      </w:tr>
      <w:tr>
        <w:tc>
          <w:tcPr>
            <w:tcW w:type="pct" w:w="6%"/>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1</w:t>
            </w:r>
          </w:p>
        </w:tc>
        <w:tc>
          <w:tcPr>
            <w:tcW w:type="pct" w:w="52%"/>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Dejar constancia del cumplimiento del segundo operativo de fiscalización del II Trimestre 2026, previo al Día del Padre.</w:t>
            </w:r>
          </w:p>
        </w:tc>
        <w:tc>
          <w:tcPr>
            <w:tcW w:type="pct" w:w="24%"/>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Secretaría Técnica del CODISEC</w:t>
            </w:r>
          </w:p>
        </w:tc>
        <w:tc>
          <w:tcPr>
            <w:tcW w:type="pct" w:w="18%"/>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Inmediato</w:t>
            </w:r>
          </w:p>
        </w:tc>
      </w:tr>
      <w:tr>
        <w:tc>
          <w:tcPr>
            <w:tcW w:type="pct" w:w="6%"/>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2</w:t>
            </w:r>
          </w:p>
        </w:tc>
        <w:tc>
          <w:tcPr>
            <w:tcW w:type="pct" w:w="52%"/>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Exhortar a los establecimientos comerciales del distrito a mantener el cumplimiento de las normas sobre venta y consumo de alcohol durante la festividad.</w:t>
            </w:r>
          </w:p>
        </w:tc>
        <w:tc>
          <w:tcPr>
            <w:tcW w:type="pct" w:w="24%"/>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Gobierno Local / PNP</w:t>
            </w:r>
          </w:p>
        </w:tc>
        <w:tc>
          <w:tcPr>
            <w:tcW w:type="pct" w:w="18%"/>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21 de junio de 2026</w:t>
            </w:r>
          </w:p>
        </w:tc>
      </w:tr>
      <w:tr>
        <w:tc>
          <w:tcPr>
            <w:tcW w:type="pct" w:w="6%"/>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3</w:t>
            </w:r>
          </w:p>
        </w:tc>
        <w:tc>
          <w:tcPr>
            <w:tcW w:type="pct" w:w="52%"/>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Consolidar los medios de verificación de ambos operativos (Informes Nº 024 y 025-2026-ST-CODISEC/MDCH) para su incorporación en el Informe Trimestral de Cumplimiento de Actividades (ITCA II).</w:t>
            </w:r>
          </w:p>
        </w:tc>
        <w:tc>
          <w:tcPr>
            <w:tcW w:type="pct" w:w="24%"/>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Secretaría Técnica del CODISEC</w:t>
            </w:r>
          </w:p>
        </w:tc>
        <w:tc>
          <w:tcPr>
            <w:tcW w:type="pct" w:w="18%"/>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Antes de la presentación del ITCA II a COPROSEC</w:t>
            </w:r>
          </w:p>
        </w:tc>
      </w:tr>
    </w:tbl>
    <w:p>
      <w:pPr>
        <w:spacing w:after="120" w:before="280"/>
      </w:pPr>
      <w:r>
        <w:rPr>
          <w:rFonts w:ascii="Arial" w:cs="Arial" w:eastAsia="Arial" w:hAnsi="Arial"/>
          <w:b/>
          <w:bCs/>
          <w:color w:val="1F3864"/>
          <w:sz w:val="22"/>
          <w:szCs w:val="22"/>
        </w:rPr>
        <w:t xml:space="preserve">7. VOTACIÓN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24%"/>
            <w:shd w:fill="D9E2F3" w:val="clear"/>
            <w:tcMar>
              <w:top w:type="dxa" w:w="60"/>
              <w:left w:type="dxa" w:w="100"/>
              <w:bottom w:type="dxa" w:w="60"/>
              <w:right w:type="dxa" w:w="100"/>
            </w:tcMar>
            <w:vAlign w:val="center"/>
          </w:tcPr>
          <w:p>
            <w:pPr>
              <w:jc w:val="center"/>
            </w:pPr>
            <w:r>
              <w:rPr>
                <w:rFonts w:ascii="Arial" w:cs="Arial" w:eastAsia="Arial" w:hAnsi="Arial"/>
                <w:b/>
                <w:bCs/>
                <w:sz w:val="20"/>
                <w:szCs w:val="20"/>
              </w:rPr>
              <w:t xml:space="preserve">N° DE ACUERDO</w:t>
            </w:r>
          </w:p>
        </w:tc>
        <w:tc>
          <w:tcPr>
            <w:tcW w:type="pct" w:w="16%"/>
            <w:shd w:fill="D9E2F3" w:val="clear"/>
            <w:tcMar>
              <w:top w:type="dxa" w:w="60"/>
              <w:left w:type="dxa" w:w="100"/>
              <w:bottom w:type="dxa" w:w="60"/>
              <w:right w:type="dxa" w:w="100"/>
            </w:tcMar>
            <w:vAlign w:val="center"/>
          </w:tcPr>
          <w:p>
            <w:pPr>
              <w:jc w:val="center"/>
            </w:pPr>
            <w:r>
              <w:rPr>
                <w:rFonts w:ascii="Arial" w:cs="Arial" w:eastAsia="Arial" w:hAnsi="Arial"/>
                <w:b/>
                <w:bCs/>
                <w:sz w:val="20"/>
                <w:szCs w:val="20"/>
              </w:rPr>
              <w:t xml:space="preserve">A FAVOR</w:t>
            </w:r>
          </w:p>
        </w:tc>
        <w:tc>
          <w:tcPr>
            <w:tcW w:type="pct" w:w="16%"/>
            <w:shd w:fill="D9E2F3" w:val="clear"/>
            <w:tcMar>
              <w:top w:type="dxa" w:w="60"/>
              <w:left w:type="dxa" w:w="100"/>
              <w:bottom w:type="dxa" w:w="60"/>
              <w:right w:type="dxa" w:w="100"/>
            </w:tcMar>
            <w:vAlign w:val="center"/>
          </w:tcPr>
          <w:p>
            <w:pPr>
              <w:jc w:val="center"/>
            </w:pPr>
            <w:r>
              <w:rPr>
                <w:rFonts w:ascii="Arial" w:cs="Arial" w:eastAsia="Arial" w:hAnsi="Arial"/>
                <w:b/>
                <w:bCs/>
                <w:sz w:val="20"/>
                <w:szCs w:val="20"/>
              </w:rPr>
              <w:t xml:space="preserve">EN CONTRA</w:t>
            </w:r>
          </w:p>
        </w:tc>
        <w:tc>
          <w:tcPr>
            <w:tcW w:type="pct" w:w="18%"/>
            <w:shd w:fill="D9E2F3" w:val="clear"/>
            <w:tcMar>
              <w:top w:type="dxa" w:w="60"/>
              <w:left w:type="dxa" w:w="100"/>
              <w:bottom w:type="dxa" w:w="60"/>
              <w:right w:type="dxa" w:w="100"/>
            </w:tcMar>
            <w:vAlign w:val="center"/>
          </w:tcPr>
          <w:p>
            <w:pPr>
              <w:jc w:val="center"/>
            </w:pPr>
            <w:r>
              <w:rPr>
                <w:rFonts w:ascii="Arial" w:cs="Arial" w:eastAsia="Arial" w:hAnsi="Arial"/>
                <w:b/>
                <w:bCs/>
                <w:sz w:val="20"/>
                <w:szCs w:val="20"/>
              </w:rPr>
              <w:t xml:space="preserve">ABSTENCIONES</w:t>
            </w:r>
          </w:p>
        </w:tc>
        <w:tc>
          <w:tcPr>
            <w:tcW w:type="pct" w:w="26%"/>
            <w:shd w:fill="D9E2F3" w:val="clear"/>
            <w:tcMar>
              <w:top w:type="dxa" w:w="60"/>
              <w:left w:type="dxa" w:w="100"/>
              <w:bottom w:type="dxa" w:w="60"/>
              <w:right w:type="dxa" w:w="100"/>
            </w:tcMar>
            <w:vAlign w:val="center"/>
          </w:tcPr>
          <w:p>
            <w:pPr>
              <w:jc w:val="center"/>
            </w:pPr>
            <w:r>
              <w:rPr>
                <w:rFonts w:ascii="Arial" w:cs="Arial" w:eastAsia="Arial" w:hAnsi="Arial"/>
                <w:b/>
                <w:bCs/>
                <w:sz w:val="20"/>
                <w:szCs w:val="20"/>
              </w:rPr>
              <w:t xml:space="preserve">RESULTADO</w:t>
            </w:r>
          </w:p>
        </w:tc>
      </w:tr>
      <w:tr>
        <w:tc>
          <w:tcPr>
            <w:tcW w:type="pct" w:w="24%"/>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Acuerdo Nº 1</w:t>
            </w:r>
          </w:p>
        </w:tc>
        <w:tc>
          <w:tcPr>
            <w:tcW w:type="pct" w:w="16%"/>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4</w:t>
            </w:r>
          </w:p>
        </w:tc>
        <w:tc>
          <w:tcPr>
            <w:tcW w:type="pct" w:w="16%"/>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0</w:t>
            </w:r>
          </w:p>
        </w:tc>
        <w:tc>
          <w:tcPr>
            <w:tcW w:type="pct" w:w="18%"/>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0</w:t>
            </w:r>
          </w:p>
        </w:tc>
        <w:tc>
          <w:tcPr>
            <w:tcW w:type="pct" w:w="26%"/>
            <w:tcMar>
              <w:top w:type="dxa" w:w="60"/>
              <w:left w:type="dxa" w:w="100"/>
              <w:bottom w:type="dxa" w:w="60"/>
              <w:right w:type="dxa" w:w="100"/>
            </w:tcMar>
            <w:vAlign w:val="center"/>
          </w:tcPr>
          <w:p>
            <w:pPr>
              <w:jc w:val="center"/>
            </w:pPr>
            <w:r>
              <w:rPr>
                <w:rFonts w:ascii="Arial" w:cs="Arial" w:eastAsia="Arial" w:hAnsi="Arial"/>
                <w:b/>
                <w:bCs/>
                <w:sz w:val="20"/>
                <w:szCs w:val="20"/>
              </w:rPr>
              <w:t xml:space="preserve">APROBADO POR UNANIMIDAD</w:t>
            </w:r>
          </w:p>
        </w:tc>
      </w:tr>
      <w:tr>
        <w:tc>
          <w:tcPr>
            <w:tcW w:type="pct" w:w="24%"/>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Acuerdo Nº 2</w:t>
            </w:r>
          </w:p>
        </w:tc>
        <w:tc>
          <w:tcPr>
            <w:tcW w:type="pct" w:w="16%"/>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4</w:t>
            </w:r>
          </w:p>
        </w:tc>
        <w:tc>
          <w:tcPr>
            <w:tcW w:type="pct" w:w="16%"/>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0</w:t>
            </w:r>
          </w:p>
        </w:tc>
        <w:tc>
          <w:tcPr>
            <w:tcW w:type="pct" w:w="18%"/>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0</w:t>
            </w:r>
          </w:p>
        </w:tc>
        <w:tc>
          <w:tcPr>
            <w:tcW w:type="pct" w:w="26%"/>
            <w:tcMar>
              <w:top w:type="dxa" w:w="60"/>
              <w:left w:type="dxa" w:w="100"/>
              <w:bottom w:type="dxa" w:w="60"/>
              <w:right w:type="dxa" w:w="100"/>
            </w:tcMar>
            <w:vAlign w:val="center"/>
          </w:tcPr>
          <w:p>
            <w:pPr>
              <w:jc w:val="center"/>
            </w:pPr>
            <w:r>
              <w:rPr>
                <w:rFonts w:ascii="Arial" w:cs="Arial" w:eastAsia="Arial" w:hAnsi="Arial"/>
                <w:b/>
                <w:bCs/>
                <w:sz w:val="20"/>
                <w:szCs w:val="20"/>
              </w:rPr>
              <w:t xml:space="preserve">APROBADO POR UNANIMIDAD</w:t>
            </w:r>
          </w:p>
        </w:tc>
      </w:tr>
      <w:tr>
        <w:tc>
          <w:tcPr>
            <w:tcW w:type="pct" w:w="24%"/>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Acuerdo Nº 3</w:t>
            </w:r>
          </w:p>
        </w:tc>
        <w:tc>
          <w:tcPr>
            <w:tcW w:type="pct" w:w="16%"/>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4</w:t>
            </w:r>
          </w:p>
        </w:tc>
        <w:tc>
          <w:tcPr>
            <w:tcW w:type="pct" w:w="16%"/>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0</w:t>
            </w:r>
          </w:p>
        </w:tc>
        <w:tc>
          <w:tcPr>
            <w:tcW w:type="pct" w:w="18%"/>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0</w:t>
            </w:r>
          </w:p>
        </w:tc>
        <w:tc>
          <w:tcPr>
            <w:tcW w:type="pct" w:w="26%"/>
            <w:tcMar>
              <w:top w:type="dxa" w:w="60"/>
              <w:left w:type="dxa" w:w="100"/>
              <w:bottom w:type="dxa" w:w="60"/>
              <w:right w:type="dxa" w:w="100"/>
            </w:tcMar>
            <w:vAlign w:val="center"/>
          </w:tcPr>
          <w:p>
            <w:pPr>
              <w:jc w:val="center"/>
            </w:pPr>
            <w:r>
              <w:rPr>
                <w:rFonts w:ascii="Arial" w:cs="Arial" w:eastAsia="Arial" w:hAnsi="Arial"/>
                <w:b/>
                <w:bCs/>
                <w:sz w:val="20"/>
                <w:szCs w:val="20"/>
              </w:rPr>
              <w:t xml:space="preserve">APROBADO POR UNANIMIDAD</w:t>
            </w:r>
          </w:p>
        </w:tc>
      </w:tr>
    </w:tbl>
    <w:p>
      <w:pPr>
        <w:spacing w:after="120" w:before="280"/>
      </w:pPr>
      <w:r>
        <w:rPr>
          <w:rFonts w:ascii="Arial" w:cs="Arial" w:eastAsia="Arial" w:hAnsi="Arial"/>
          <w:b/>
          <w:bCs/>
          <w:color w:val="1F3864"/>
          <w:sz w:val="22"/>
          <w:szCs w:val="22"/>
        </w:rPr>
        <w:t xml:space="preserve">8. CIERRE DE LA SESIÓN</w:t>
      </w:r>
    </w:p>
    <w:p>
      <w:pPr>
        <w:spacing w:after="160"/>
        <w:jc w:val="both"/>
      </w:pPr>
      <w:r>
        <w:rPr>
          <w:rFonts w:ascii="Arial" w:cs="Arial" w:eastAsia="Arial" w:hAnsi="Arial"/>
          <w:sz w:val="20"/>
          <w:szCs w:val="20"/>
        </w:rPr>
        <w:t xml:space="preserve">Se dio por concluido el operativo y la presente sesión extraordinaria siendo las 22:00 horas del jueves 18 de junio de 2026.</w:t>
      </w:r>
    </w:p>
    <w:p>
      <w:pPr>
        <w:spacing w:after="120" w:before="280"/>
      </w:pPr>
      <w:r>
        <w:rPr>
          <w:rFonts w:ascii="Arial" w:cs="Arial" w:eastAsia="Arial" w:hAnsi="Arial"/>
          <w:b/>
          <w:bCs/>
          <w:color w:val="1F3864"/>
          <w:sz w:val="22"/>
          <w:szCs w:val="22"/>
        </w:rPr>
        <w:t xml:space="preserve">9. SUSCRIPCIÓN DEL ACTA</w:t>
      </w:r>
    </w:p>
    <w:p>
      <w:pPr>
        <w:spacing w:after="160"/>
        <w:jc w:val="both"/>
      </w:pPr>
      <w:r>
        <w:rPr>
          <w:rFonts w:ascii="Arial" w:cs="Arial" w:eastAsia="Arial" w:hAnsi="Arial"/>
          <w:sz w:val="20"/>
          <w:szCs w:val="20"/>
        </w:rPr>
        <w:t xml:space="preserve">En señal de conformidad con lo tratado y acordado, suscriben la presente acta los participantes del operativo; la identificación de los representantes de las Juntas Vecinales consta en la lista de participantes adjunta.</w:t>
      </w:r>
    </w:p>
    <w:p>
      <w:pPr>
        <w:spacing w:before="360"/>
      </w:pPr>
      <w:r>
        <w:rPr>
          <w:rFonts w:ascii="Arial" w:cs="Arial" w:eastAsia="Arial" w:hAnsi="Arial"/>
          <w:sz w:val="20"/>
          <w:szCs w:val="20"/>
        </w:rPr>
        <w:t xml:space="preserve">_______________________________</w:t>
      </w:r>
    </w:p>
    <w:p>
      <w:r>
        <w:rPr>
          <w:rFonts w:ascii="Arial" w:cs="Arial" w:eastAsia="Arial" w:hAnsi="Arial"/>
          <w:b/>
          <w:bCs/>
          <w:sz w:val="20"/>
          <w:szCs w:val="20"/>
        </w:rPr>
        <w:t xml:space="preserve">BENJAMIN DOROTEO CHURA ARAGÓN</w:t>
      </w:r>
    </w:p>
    <w:p>
      <w:r>
        <w:rPr>
          <w:rFonts w:ascii="Arial" w:cs="Arial" w:eastAsia="Arial" w:hAnsi="Arial"/>
          <w:i/>
          <w:iCs/>
          <w:sz w:val="18"/>
          <w:szCs w:val="18"/>
        </w:rPr>
        <w:t xml:space="preserve">Secretario Técnico del CODISEC - Choco</w:t>
      </w:r>
    </w:p>
    <w:p>
      <w:pPr>
        <w:spacing w:before="360"/>
      </w:pPr>
      <w:r>
        <w:rPr>
          <w:rFonts w:ascii="Arial" w:cs="Arial" w:eastAsia="Arial" w:hAnsi="Arial"/>
          <w:sz w:val="20"/>
          <w:szCs w:val="20"/>
        </w:rPr>
        <w:t xml:space="preserve">_______________________________</w:t>
      </w:r>
    </w:p>
    <w:p>
      <w:r>
        <w:rPr>
          <w:rFonts w:ascii="Arial" w:cs="Arial" w:eastAsia="Arial" w:hAnsi="Arial"/>
          <w:b/>
          <w:bCs/>
          <w:sz w:val="20"/>
          <w:szCs w:val="20"/>
        </w:rPr>
        <w:t xml:space="preserve">BARRETO CABANA</w:t>
      </w:r>
    </w:p>
    <w:p>
      <w:r>
        <w:rPr>
          <w:rFonts w:ascii="Arial" w:cs="Arial" w:eastAsia="Arial" w:hAnsi="Arial"/>
          <w:i/>
          <w:iCs/>
          <w:sz w:val="18"/>
          <w:szCs w:val="18"/>
        </w:rPr>
        <w:t xml:space="preserve">Comisario PNP</w:t>
      </w:r>
    </w:p>
    <w:p>
      <w:pPr>
        <w:spacing w:before="360"/>
      </w:pPr>
      <w:r>
        <w:rPr>
          <w:rFonts w:ascii="Arial" w:cs="Arial" w:eastAsia="Arial" w:hAnsi="Arial"/>
          <w:sz w:val="20"/>
          <w:szCs w:val="20"/>
        </w:rPr>
        <w:t xml:space="preserve">_______________________________</w:t>
      </w:r>
    </w:p>
    <w:p>
      <w:r>
        <w:rPr>
          <w:rFonts w:ascii="Arial" w:cs="Arial" w:eastAsia="Arial" w:hAnsi="Arial"/>
          <w:b/>
          <w:bCs/>
          <w:sz w:val="20"/>
          <w:szCs w:val="20"/>
        </w:rPr>
        <w:t xml:space="preserve">ALEJANDRO CARPIO CHURA</w:t>
      </w:r>
    </w:p>
    <w:p>
      <w:r>
        <w:rPr>
          <w:rFonts w:ascii="Arial" w:cs="Arial" w:eastAsia="Arial" w:hAnsi="Arial"/>
          <w:i/>
          <w:iCs/>
          <w:sz w:val="18"/>
          <w:szCs w:val="18"/>
        </w:rPr>
        <w:t xml:space="preserve">Subprefecto del distrito de Choco</w:t>
      </w:r>
    </w:p>
    <w:sectPr>
      <w:pgSz w:w="11906" w:h="16838" w:orient="portrait"/>
      <w:pgMar w:top="720" w:right="900" w:bottom="72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2026-08-17T18:13:00.233Z</dcterms:created>
  <dcterms:modified xsi:type="dcterms:W3CDTF">2026-08-17T18:13:00.233Z</dcterms:modified>
</cp:coreProperties>
</file>

<file path=docProps/custom.xml><?xml version="1.0" encoding="utf-8"?>
<Properties xmlns="http://schemas.openxmlformats.org/officeDocument/2006/custom-properties" xmlns:vt="http://schemas.openxmlformats.org/officeDocument/2006/docPropsVTypes"/>
</file>