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3485E1">
      <w:pPr>
        <w:pStyle w:val="13"/>
        <w:rPr>
          <w:rStyle w:val="14"/>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Predicting Antimicrobial Resistance Without Local Data: Cross-Country Transfer to Kazakhstan</w:t>
      </w:r>
    </w:p>
    <w:p w14:paraId="16B5A3A3">
      <w:pPr>
        <w:pStyle w:val="13"/>
        <w:jc w:val="center"/>
        <w:rPr>
          <w:rStyle w:val="14"/>
          <w:rFonts w:hint="default" w:cs="Times New Roman"/>
          <w:b w:val="0"/>
          <w:bCs w:val="0"/>
          <w:sz w:val="24"/>
          <w:szCs w:val="24"/>
          <w:lang w:val="en-US"/>
        </w:rPr>
      </w:pPr>
      <w:r>
        <w:rPr>
          <w:rStyle w:val="14"/>
          <w:rFonts w:hint="default" w:cs="Times New Roman"/>
          <w:b w:val="0"/>
          <w:bCs w:val="0"/>
          <w:sz w:val="24"/>
          <w:szCs w:val="24"/>
          <w:lang w:val="en-US"/>
        </w:rPr>
        <w:t>Uais Amangeldi¹; Dinmukhammed Amantay¹; Serikzhan Kazi²</w:t>
      </w:r>
    </w:p>
    <w:p w14:paraId="2E0AEF5B">
      <w:pPr>
        <w:rPr>
          <w:rFonts w:ascii="Times New Roman" w:hAnsi="Times New Roman"/>
          <w:b w:val="0"/>
          <w:sz w:val="24"/>
          <w:highlight w:val="none"/>
        </w:rPr>
      </w:pPr>
      <w:r>
        <w:rPr>
          <w:rFonts w:ascii="Times New Roman" w:hAnsi="Times New Roman"/>
          <w:b w:val="0"/>
          <w:sz w:val="24"/>
          <w:highlight w:val="none"/>
        </w:rPr>
        <w:t>Author affiliation(s):</w:t>
      </w:r>
    </w:p>
    <w:p w14:paraId="7837E3F0">
      <w:pPr>
        <w:numPr>
          <w:ilvl w:val="0"/>
          <w:numId w:val="1"/>
        </w:numPr>
        <w:rPr>
          <w:rFonts w:ascii="Times New Roman" w:hAnsi="Times New Roman"/>
          <w:b w:val="0"/>
          <w:sz w:val="24"/>
          <w:highlight w:val="none"/>
        </w:rPr>
      </w:pPr>
      <w:r>
        <w:rPr>
          <w:rFonts w:hint="default" w:ascii="Times New Roman" w:hAnsi="Times New Roman"/>
          <w:b w:val="0"/>
          <w:sz w:val="24"/>
          <w:highlight w:val="none"/>
          <w:lang w:val="en-US"/>
        </w:rPr>
        <w:t>Nazarbayev Intellectual School of Physics and Mathematics, Astana</w:t>
      </w:r>
      <w:r>
        <w:rPr>
          <w:rFonts w:ascii="Times New Roman" w:hAnsi="Times New Roman"/>
          <w:b w:val="0"/>
          <w:sz w:val="24"/>
          <w:highlight w:val="none"/>
        </w:rPr>
        <w:t xml:space="preserve"> Kazakhstan.</w:t>
      </w:r>
    </w:p>
    <w:p w14:paraId="325D2912">
      <w:pPr>
        <w:numPr>
          <w:ilvl w:val="0"/>
          <w:numId w:val="1"/>
        </w:numPr>
        <w:rPr>
          <w:rFonts w:ascii="Times New Roman" w:hAnsi="Times New Roman"/>
          <w:b w:val="0"/>
          <w:sz w:val="24"/>
          <w:highlight w:val="none"/>
        </w:rPr>
      </w:pPr>
      <w:r>
        <w:rPr>
          <w:rFonts w:hint="default" w:ascii="Times New Roman" w:hAnsi="Times New Roman"/>
          <w:b w:val="0"/>
          <w:sz w:val="24"/>
          <w:highlight w:val="none"/>
          <w:lang w:val="en-US"/>
        </w:rPr>
        <w:t>PhD at ____; SWE at Amazon (write it down as yours)</w:t>
      </w:r>
    </w:p>
    <w:p w14:paraId="6CAFB6EE">
      <w:pPr>
        <w:pStyle w:val="13"/>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Abstract</w:t>
      </w:r>
    </w:p>
    <w:p w14:paraId="0910FA7A">
      <w:pPr>
        <w:pStyle w:val="13"/>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Background.</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Machine learning models predict antimicrobial resistance (AMR) well in high-income countries but do not work in locations where there is no local surveillance.</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Despite uncontested evidence that AMR contributed to the deaths of over 1.14 million individuals in 2021, there are no adequate isolate-level data to inform empirical treatment in countries like Kazakhstan.</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We ask whether AMR can be predicted for a country that did not contribute any training isolates, based exclusively on macroeconomic data, public information about antibiotic usage, and organism and antibiotic identities.</w:t>
      </w:r>
    </w:p>
    <w:p w14:paraId="45BFFF2E">
      <w:pPr>
        <w:pStyle w:val="13"/>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Methods.</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About 11.3 million susceptibility results from 1.08 million isolates from 85 countries (excluding Kazakhstan) were used for training a CatBoost model.</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Resistance probability estimates were calculated by leave-one-country-out (LOCO) cross-validation as well as by temporal hold-out and four-country hold-out validation.</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Resistance probability estimates were evaluated using AUC, recall, and expected calibration error (ECE).</w:t>
      </w:r>
    </w:p>
    <w:p w14:paraId="403E7A30">
      <w:pPr>
        <w:pStyle w:val="13"/>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Results.</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On the post-2020 hold-out set, the model achieved an AUC of 0.849, a recall of 0.797, and an ECE of 0.012.</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The four held-out countries (prevalence 15–44%) had AUCs ranging between 0.81 and 0.89, and calibration (not discrimination) was worse when the held-out country was less similar to the training data.</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 xml:space="preserve">Of 480 organism–antibiotic–year inferences in Kazakhstan, 66.9% exceeded the 20 percent limit, with </w:t>
      </w:r>
      <w:r>
        <w:rPr>
          <w:rStyle w:val="11"/>
          <w:rFonts w:hint="default" w:ascii="Times New Roman" w:hAnsi="Times New Roman" w:cs="Times New Roman"/>
          <w:sz w:val="24"/>
          <w:szCs w:val="24"/>
          <w:lang w:val="en-US"/>
        </w:rPr>
        <w:t>Acinetobacter baumannii</w:t>
      </w:r>
      <w:r>
        <w:rPr>
          <w:rStyle w:val="26"/>
          <w:rFonts w:hint="default" w:ascii="Times New Roman" w:hAnsi="Times New Roman" w:cs="Times New Roman"/>
          <w:sz w:val="24"/>
          <w:szCs w:val="24"/>
          <w:lang w:val="en-US"/>
        </w:rPr>
        <w:t xml:space="preserve"> showing the highest level of predicted resistance.</w:t>
      </w:r>
    </w:p>
    <w:p w14:paraId="227607E9">
      <w:pPr>
        <w:pStyle w:val="13"/>
        <w:rPr>
          <w:rStyle w:val="26"/>
          <w:rFonts w:hint="default" w:ascii="Times New Roman" w:hAnsi="Times New Roman" w:cs="Times New Roman"/>
          <w:sz w:val="24"/>
          <w:szCs w:val="24"/>
          <w:lang w:val="ru-RU"/>
        </w:rPr>
      </w:pPr>
      <w:r>
        <w:rPr>
          <w:rStyle w:val="14"/>
          <w:rFonts w:hint="default" w:ascii="Times New Roman" w:hAnsi="Times New Roman" w:cs="Times New Roman"/>
          <w:sz w:val="24"/>
          <w:szCs w:val="24"/>
          <w:lang w:val="en-US"/>
        </w:rPr>
        <w:t>Conclusions.</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Macro-feature transfer can support AMR testing in data-limited countries/territories, indicating which combinations to test first and not serving as a replacement for surveillance.</w:t>
      </w:r>
    </w:p>
    <w:p w14:paraId="13D0AC93">
      <w:pPr>
        <w:spacing w:line="240" w:lineRule="auto"/>
        <w:rPr>
          <w:rStyle w:val="26"/>
          <w:rFonts w:hint="default" w:ascii="Times New Roman" w:hAnsi="Times New Roman" w:cs="Times New Roman"/>
          <w:sz w:val="24"/>
          <w:szCs w:val="24"/>
          <w:lang w:val="ru-RU"/>
        </w:rPr>
      </w:pPr>
      <w:r>
        <w:rPr>
          <w:rFonts w:hint="default" w:ascii="Times New Roman" w:hAnsi="Times New Roman" w:eastAsia="SimSun" w:cs="Times New Roman"/>
          <w:b/>
          <w:bCs/>
          <w:color w:val="000000"/>
          <w:sz w:val="24"/>
          <w:szCs w:val="24"/>
          <w:lang w:val="en-US" w:eastAsia="zh-CN" w:bidi="ar"/>
        </w:rPr>
        <w:t xml:space="preserve">Keywords: </w:t>
      </w:r>
      <w:r>
        <w:rPr>
          <w:rFonts w:hint="default" w:ascii="Times New Roman" w:hAnsi="Times New Roman" w:eastAsia="SimSun" w:cs="Times New Roman"/>
          <w:color w:val="000000"/>
          <w:sz w:val="24"/>
          <w:szCs w:val="24"/>
          <w:lang w:val="en-US" w:eastAsia="zh-CN" w:bidi="ar"/>
        </w:rPr>
        <w:t xml:space="preserve">antimicrobial resistance; cross-country transfer learning; CatBoost; surveillance gap; Kazakhstan. </w:t>
      </w:r>
    </w:p>
    <w:p w14:paraId="064A663A">
      <w:pPr>
        <w:pStyle w:val="13"/>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1. Introduction</w:t>
      </w:r>
    </w:p>
    <w:p w14:paraId="3A11CD6F">
      <w:pPr>
        <w:pStyle w:val="13"/>
        <w:rPr>
          <w:rFonts w:hint="default" w:ascii="Times New Roman" w:hAnsi="Times New Roman" w:cs="Times New Roman"/>
          <w:sz w:val="24"/>
          <w:szCs w:val="24"/>
          <w:lang w:val="en-US"/>
        </w:rPr>
      </w:pPr>
      <w:r>
        <w:rPr>
          <w:rStyle w:val="26"/>
          <w:rFonts w:hint="default" w:ascii="Times New Roman" w:hAnsi="Times New Roman" w:cs="Times New Roman"/>
          <w:sz w:val="24"/>
          <w:szCs w:val="24"/>
          <w:lang w:val="en-US"/>
        </w:rPr>
        <w:t>Antimicrobial resistance (AMR) affects people and their communities, directly contributing to the deaths of 1.14 million people in 2021 due to AMR alone¹ and 4.71 million deaths overall associated with AMR.</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By 2050, AMR is estimated to lead to 10 million cases a year worldwide² and losses to global GDP of up to 3.4 trillion USD annually by 2030³.</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In reality, AMR is a global problem, but its impact is not felt uniformly; in LMICs this can be attributed to a lack of the necessary infrastructure, laboratory diagnostic tools, and infection control capacities.</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Isolate data from global surveillance (WHO GLASS, ATLAS, SIDERO-WT) are highly skewed towards data from high-income countries, and resistance in LMICs is woefully under-represented.</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Central Asia, including Kazakhstan, is a clear blind spot in global AMR monitoring due to limited microbiology laboratory capacity, suboptimal antimicrobial surveillance systems in post-Soviet countries, and an incomplete nationwide AMR surveillance program in Kazakhstan⁴.</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This motivated us to examine cross-country generalization, which we define as predicting resistance in a country where no data were used to train or validate the model, in this case applied to Kazakhstan, where no Kazakhstani data were used in training or validation of the model (global data only).</w:t>
      </w:r>
    </w:p>
    <w:p w14:paraId="30D4E80E">
      <w:pPr>
        <w:pStyle w:val="13"/>
        <w:rPr>
          <w:rFonts w:hint="default" w:ascii="Times New Roman" w:hAnsi="Times New Roman" w:cs="Times New Roman"/>
          <w:sz w:val="24"/>
          <w:szCs w:val="24"/>
          <w:lang w:val="en-US"/>
        </w:rPr>
      </w:pPr>
      <w:r>
        <w:rPr>
          <w:rStyle w:val="26"/>
          <w:rFonts w:hint="default" w:ascii="Times New Roman" w:hAnsi="Times New Roman" w:cs="Times New Roman"/>
          <w:sz w:val="24"/>
          <w:szCs w:val="24"/>
          <w:lang w:val="en-US"/>
        </w:rPr>
        <w:t>Several pharmaco-epidemiological and epidemiological predictors have proved successful in predicting AMR without genomic information⁵, and phenotypic methods have also proved successful.</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All existing methods of validation, however, rely on isolates collected specifically within the study area, so for Kazakhstan, such isolates are not available, and Kazakhstan has rather few data sources.</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The most serious error is a false negative (i.e., not reporting a resistant isolate as resistant), which results in undertreatment of an infection or inappropriate empirical treatment.</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This surveillance gap is addressed by a CatBoost model trained on global data and evaluated using only publicly accessible macroeconomic indicators and antibiotic consumption data as input features.</w:t>
      </w:r>
    </w:p>
    <w:p w14:paraId="25FE8840">
      <w:pPr>
        <w:pStyle w:val="13"/>
        <w:rPr>
          <w:rFonts w:hint="default" w:ascii="Times New Roman" w:hAnsi="Times New Roman" w:cs="Times New Roman"/>
          <w:sz w:val="24"/>
          <w:szCs w:val="24"/>
          <w:lang w:val="en-US"/>
        </w:rPr>
      </w:pPr>
      <w:r>
        <w:rPr>
          <w:rStyle w:val="26"/>
          <w:rFonts w:hint="default" w:ascii="Times New Roman" w:hAnsi="Times New Roman" w:cs="Times New Roman"/>
          <w:sz w:val="24"/>
          <w:szCs w:val="24"/>
          <w:lang w:val="en-US"/>
        </w:rPr>
        <w:t>This is, to our knowledge, the first time data-free cross-country prediction of AMR is applied in a Central Asian country – Kazakhstan.</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Three non-local approaches are proposed for the use of ground truth data, namely temporal splitting, Leave-One-Country-Out (LOCO), and rolling temporal cross-validation (rTCV).</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Second, we demonstrated the feasibility of these common data in order to select priority tests that can be applied in areas with less data available (hypothesis generation), a task that could be easily replicated in numerous areas that are sparsely surveyed.</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In Kazakhstan, where no national isolate-based system is established, the principle is based on the choice of which organism–antibiotic combination should be tested first.</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The resistance probability estimates generated by the model based on the global surveillance data, without using any clinical data from Kazakhstan and with only macro-level features and antibiotic consumption data, would be sufficient for prioritizing antibiotics using the 20 percent clinical actionability threshold.</w:t>
      </w:r>
    </w:p>
    <w:p w14:paraId="3FD8F310">
      <w:pPr>
        <w:pStyle w:val="13"/>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2. Methods</w:t>
      </w:r>
    </w:p>
    <w:p w14:paraId="3F74C370">
      <w:pPr>
        <w:pStyle w:val="13"/>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2.1 Study Design</w:t>
      </w:r>
    </w:p>
    <w:p w14:paraId="1EFEDF82">
      <w:pPr>
        <w:pStyle w:val="13"/>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A cross-country prediction approach to forecasting AMR patterns for Kazakhstan without the need for local data to be used for model training is introduced in this paper. </w:t>
      </w:r>
      <w:r>
        <w:rPr>
          <w:rStyle w:val="26"/>
          <w:rFonts w:hint="default" w:ascii="Times New Roman" w:hAnsi="Times New Roman" w:cs="Times New Roman"/>
          <w:sz w:val="24"/>
          <w:szCs w:val="24"/>
          <w:lang w:val="en-US"/>
        </w:rPr>
        <w:t>The proposed pipeline is shown in Figure 1.</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Two input datasets are used – global AMR surveillance and macro-economic and antibiotic consumption at the national level.</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Firstly, the global AMR dataset is preprocessed, harmonized, and feature engineered; next, four machine learning models, including LightGBM, CatBoost, Random Forest, and Logistic Regression, are trained to determine the most suitable model among the candidates, excluding Kazakhstan from the sample.</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Once selected, this model will be transferred to the Kazakhstan domain using only macroeconomic and antibiotic consumption features as inputs.</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Three robustness measures are applied: hold-out, leave-one-country-out (LOCO) CV, and rolling-origin CV; all three are possible to apply to the data with no local ground truth.</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Once resistance probabilities are calibrated by the model chosen (with isotonic regression trained on the period of 2019-2020), multicriteria prioritisation leads to the final risk forecast.</w:t>
      </w:r>
    </w:p>
    <w:p w14:paraId="11DDB996">
      <w:pPr>
        <w:spacing w:after="160" w:line="240" w:lineRule="auto"/>
        <w:rPr>
          <w:rFonts w:hint="default" w:ascii="Times New Roman" w:hAnsi="Times New Roman" w:eastAsia="Times New Roman" w:cs="Times New Roman"/>
          <w:sz w:val="24"/>
          <w:szCs w:val="24"/>
          <w:highlight w:val="white"/>
        </w:rPr>
      </w:pPr>
      <w:r>
        <w:rPr>
          <w:rFonts w:hint="default" w:ascii="Times New Roman" w:hAnsi="Times New Roman" w:eastAsia="Times New Roman" w:cs="Times New Roman"/>
          <w:sz w:val="24"/>
          <w:szCs w:val="24"/>
          <w:highlight w:val="white"/>
          <w:lang w:val="ru-RU"/>
        </w:rPr>
        <w:drawing>
          <wp:inline distT="114300" distB="114300" distL="114300" distR="114300">
            <wp:extent cx="5943600" cy="34671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6"/>
                    <a:srcRect/>
                    <a:stretch>
                      <a:fillRect/>
                    </a:stretch>
                  </pic:blipFill>
                  <pic:spPr>
                    <a:xfrm>
                      <a:off x="0" y="0"/>
                      <a:ext cx="5943600" cy="3467100"/>
                    </a:xfrm>
                    <a:prstGeom prst="rect">
                      <a:avLst/>
                    </a:prstGeom>
                  </pic:spPr>
                </pic:pic>
              </a:graphicData>
            </a:graphic>
          </wp:inline>
        </w:drawing>
      </w:r>
    </w:p>
    <w:p w14:paraId="30266201">
      <w:pPr>
        <w:pStyle w:val="13"/>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 xml:space="preserve">Figure 1 </w:t>
      </w:r>
      <w:r>
        <w:rPr>
          <w:rStyle w:val="11"/>
          <w:rFonts w:hint="default" w:ascii="Times New Roman" w:hAnsi="Times New Roman" w:cs="Times New Roman"/>
          <w:sz w:val="24"/>
          <w:szCs w:val="24"/>
          <w:lang w:val="en-US"/>
        </w:rPr>
        <w:t>Overall workflow of the machine learning pipeline from data preprocessing to prediction.</w:t>
      </w:r>
    </w:p>
    <w:p w14:paraId="04CE8306">
      <w:pPr>
        <w:pStyle w:val="13"/>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2.2 Data</w:t>
      </w:r>
    </w:p>
    <w:p w14:paraId="24486298">
      <w:pPr>
        <w:pStyle w:val="13"/>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2.2.1 Data Sources and Acquisition</w:t>
      </w:r>
    </w:p>
    <w:p w14:paraId="4921A1C6">
      <w:pPr>
        <w:pStyle w:val="13"/>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Two types of datasets were used: </w:t>
      </w:r>
      <w:r>
        <w:rPr>
          <w:rStyle w:val="26"/>
          <w:rFonts w:hint="default" w:ascii="Times New Roman" w:hAnsi="Times New Roman" w:cs="Times New Roman"/>
          <w:sz w:val="24"/>
          <w:szCs w:val="24"/>
          <w:lang w:val="en-US"/>
        </w:rPr>
        <w:t>a global dataset used for all model training, validation, and hyperparameter tuning, and a target dataset for Kazakhstan, where inference and post-hoc face validity were conducted and did not affect any model fitting process.</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Isolate-level data were obtained from three global surveillance databases accessed via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"http://Vivli.org" \t "_blank" </w:instrText>
      </w:r>
      <w:r>
        <w:rPr>
          <w:rFonts w:hint="default" w:ascii="Times New Roman" w:hAnsi="Times New Roman" w:cs="Times New Roman"/>
          <w:sz w:val="24"/>
          <w:szCs w:val="24"/>
        </w:rPr>
        <w:fldChar w:fldCharType="separate"/>
      </w:r>
      <w:r>
        <w:rPr>
          <w:rStyle w:val="26"/>
          <w:rFonts w:hint="default" w:ascii="Times New Roman" w:hAnsi="Times New Roman" w:cs="Times New Roman"/>
          <w:color w:val="0000FF"/>
          <w:sz w:val="24"/>
          <w:szCs w:val="24"/>
          <w:u w:val="single"/>
          <w:lang w:val="en-US"/>
        </w:rPr>
        <w:t>Vivli.org</w:t>
      </w:r>
      <w:r>
        <w:rPr>
          <w:rStyle w:val="26"/>
          <w:rFonts w:hint="default" w:ascii="Times New Roman" w:hAnsi="Times New Roman" w:cs="Times New Roman"/>
          <w:color w:val="0000FF"/>
          <w:sz w:val="24"/>
          <w:szCs w:val="24"/>
          <w:u w:val="single"/>
          <w:lang w:val="en-US"/>
        </w:rPr>
        <w:fldChar w:fldCharType="end"/>
      </w:r>
      <w:r>
        <w:rPr>
          <w:rStyle w:val="26"/>
          <w:rFonts w:hint="default" w:ascii="Times New Roman" w:hAnsi="Times New Roman" w:cs="Times New Roman"/>
          <w:sz w:val="24"/>
          <w:szCs w:val="24"/>
          <w:lang w:val="en-US"/>
        </w:rPr>
        <w:t xml:space="preserve">: ATLAS (Pfizer)⁶, SIDERO-WT (Shionogi)⁷, and KEYSTONE </w:t>
      </w:r>
      <w:r>
        <w:rPr>
          <w:rFonts w:hint="default" w:ascii="Times New Roman" w:hAnsi="Times New Roman" w:cs="Times New Roman"/>
          <w:sz w:val="24"/>
          <w:szCs w:val="24"/>
          <w:lang w:val="en-US"/>
        </w:rPr>
        <w:t>(Paratek)⁸</w:t>
      </w:r>
      <w:r>
        <w:rPr>
          <w:rStyle w:val="26"/>
          <w:rFonts w:hint="default" w:ascii="Times New Roman" w:hAnsi="Times New Roman" w:cs="Times New Roman"/>
          <w:sz w:val="24"/>
          <w:szCs w:val="24"/>
          <w:lang w:val="en-US"/>
        </w:rPr>
        <w:t>, following applications for data access.</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The data on consumption of antibiotics (DDD per 1,000 inhabitants per day) were obtained from Wang et al.⁹.</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Kazakhstan has no national AMR surveillance system, thus no isolate-level susceptibility data were available for model training.</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All features were country-level proxy features in the same feature space as the training dataset for the Kazakhstan target dataset.</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The national average antibiotic consumption rates from four published articles¹⁰,¹¹,¹²,¹³ were used.</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The Kazakhstan feature grid was completed with six macroeconomic indicators (GDP per capita, health expenditure (% of GDP), population density, access to basic water, access to sanitation, and hospital beds per 1,000; all from World Bank Open Data, 2017–2023)¹⁴, annual mean surface temperature¹⁵, and WHO AWaRe Access percentages¹¹,¹⁶.</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The features were only evaluated for their ability to produce resistance probability estimates and were not used in training or calibration of models; only published Kazakhstani resistance rates were evaluated for face validity, and they were never used in model training or calibration.</w:t>
      </w:r>
    </w:p>
    <w:p w14:paraId="0E55D4C9">
      <w:pPr>
        <w:pStyle w:val="13"/>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2.2.2 Data Harmonization</w:t>
      </w:r>
    </w:p>
    <w:p w14:paraId="73F3831D">
      <w:pPr>
        <w:pStyle w:val="13"/>
        <w:rPr>
          <w:rFonts w:hint="default" w:ascii="Times New Roman" w:hAnsi="Times New Roman" w:cs="Times New Roman"/>
          <w:sz w:val="24"/>
          <w:szCs w:val="24"/>
          <w:lang w:val="en-US"/>
        </w:rPr>
      </w:pPr>
      <w:r>
        <w:rPr>
          <w:rStyle w:val="26"/>
          <w:rFonts w:hint="default" w:ascii="Times New Roman" w:hAnsi="Times New Roman" w:cs="Times New Roman"/>
          <w:sz w:val="24"/>
          <w:szCs w:val="24"/>
          <w:lang w:val="en-US"/>
        </w:rPr>
        <w:t>Standard names were used for column names to ensure consistency, and inconsistencies in country names were resolved using a mapping table.</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Codes that were assigned to an antibiotic were discarded if the code was incorrectly entered as the name of an antibiotic.</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One of two forms of susceptibility classification was applied, depending on the source database.</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ATLAS provided pre-computed susceptible (S)/intermediate (I)/resistant (R) interpretations, which were applied directly and accounted for 95.1% of the total labelled results.</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SIDERO-WT and KEYSTONE reported raw minimum inhibitory concentration (MIC) data, which were binarized using organism-specific clinical breakpoints (EUCAST Clinical Breakpoints v13.0 (2023)¹⁷ where available, and CLSI M100-Ed33 (2023) for organism–antibiotic combinations not covered by EUCAST).</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The remaining 4.9% of results were derived from MIC-based labels.</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Intermediate isolates were dropped to ensure a clear division between susceptible and resistant isolates.</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The names of antibiotics in the Kazakhstan dataset were converted to lowercase, and partial matching was performed with the global set of antibiotics; antibiotics that could not be matched were excluded from the dataset.</w:t>
      </w:r>
    </w:p>
    <w:p w14:paraId="2A6BFD3B">
      <w:pPr>
        <w:pStyle w:val="13"/>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2.2.3 Feature Engineering</w:t>
      </w:r>
    </w:p>
    <w:p w14:paraId="6903E51D">
      <w:pPr>
        <w:pStyle w:val="13"/>
        <w:rPr>
          <w:rFonts w:hint="default" w:ascii="Times New Roman" w:hAnsi="Times New Roman" w:cs="Times New Roman"/>
          <w:sz w:val="24"/>
          <w:szCs w:val="24"/>
        </w:rPr>
      </w:pPr>
      <w:r>
        <w:rPr>
          <w:rStyle w:val="26"/>
          <w:rFonts w:hint="default" w:ascii="Times New Roman" w:hAnsi="Times New Roman" w:cs="Times New Roman"/>
          <w:sz w:val="24"/>
          <w:szCs w:val="24"/>
          <w:lang w:val="en-US"/>
        </w:rPr>
        <w:t>The AMR data were combined with macroeconomic and consumption features into a yearly country-level dataset.</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Features showing right skewness, where most countries have moderate values but a few wealthy countries have very high values (such as GDP and consumption data), were logarithmised using log(1 + x).</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For Kazakhstan, no population density data were available from the World Bank; therefore, this was calculated manually using population and surface area data.</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Chronological forward-filling was applied to missing values, and the global mean for each feature over the training period (prior to 2018) was used for any remaining missing values, so that no validation or test data influenced the filling.</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The final feature set comprised 13 features: 3 categorical (organism, antibiotic, antibiotic class) and 10 numeric (year, 9 macroeconomic features).</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When applied to the entire training set, forward-filling resolved most missing macro-feature values; global mean imputation was required for a median of 9.4% of country-year observations per feature, with the highest missingness in aware access pct (86.2%, 53 countries) and consumption DDD per class (57.9%, 52 countries).</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Core World Bank indicators (GDP per capita, population density, health expenditure) had the lowest missingness (7.9%), reflecting the fewest countries lacking World Bank reporting coverage.</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rPr>
        <w:t>All features are listed in Table 1.</w:t>
      </w:r>
    </w:p>
    <w:tbl>
      <w:tblPr>
        <w:tblStyle w:val="19"/>
        <w:tblW w:w="888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245"/>
        <w:gridCol w:w="4635"/>
      </w:tblGrid>
      <w:tr w14:paraId="5B6B6C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35" w:hRule="atLeast"/>
          <w:jc w:val="center"/>
        </w:trPr>
        <w:tc>
          <w:tcPr>
            <w:tcW w:w="4245" w:type="dxa"/>
            <w:tcBorders>
              <w:top w:val="single" w:color="000000" w:sz="8" w:space="0"/>
              <w:left w:val="single" w:color="000000" w:sz="8" w:space="0"/>
              <w:bottom w:val="single" w:color="000000" w:sz="8" w:space="0"/>
              <w:right w:val="single" w:color="000000" w:sz="8" w:space="0"/>
            </w:tcBorders>
            <w:shd w:val="clear" w:color="auto" w:fill="FFFFFF"/>
            <w:tcMar>
              <w:top w:w="0" w:type="dxa"/>
              <w:left w:w="0" w:type="dxa"/>
              <w:bottom w:w="0" w:type="dxa"/>
              <w:right w:w="0" w:type="dxa"/>
            </w:tcMar>
          </w:tcPr>
          <w:p w14:paraId="5A05FCD4">
            <w:pPr>
              <w:spacing w:after="200" w:line="240" w:lineRule="auto"/>
              <w:rPr>
                <w:rFonts w:hint="default" w:ascii="Times New Roman" w:hAnsi="Times New Roman" w:eastAsia="Times New Roman" w:cs="Times New Roman"/>
                <w:sz w:val="24"/>
                <w:szCs w:val="24"/>
                <w:highlight w:val="white"/>
              </w:rPr>
            </w:pPr>
            <w:r>
              <w:rPr>
                <w:rFonts w:hint="default" w:ascii="Times New Roman" w:hAnsi="Times New Roman" w:eastAsia="Times New Roman" w:cs="Times New Roman"/>
                <w:sz w:val="24"/>
                <w:szCs w:val="24"/>
                <w:highlight w:val="white"/>
              </w:rPr>
              <w:t>Feature Type</w:t>
            </w:r>
          </w:p>
        </w:tc>
        <w:tc>
          <w:tcPr>
            <w:tcW w:w="4635" w:type="dxa"/>
            <w:tcBorders>
              <w:top w:val="single" w:color="000000" w:sz="8" w:space="0"/>
              <w:left w:val="single" w:color="000000" w:sz="8" w:space="0"/>
              <w:bottom w:val="single" w:color="000000" w:sz="8" w:space="0"/>
              <w:right w:val="single" w:color="000000" w:sz="8" w:space="0"/>
            </w:tcBorders>
            <w:shd w:val="clear" w:color="auto" w:fill="FFFFFF"/>
            <w:tcMar>
              <w:top w:w="0" w:type="dxa"/>
              <w:left w:w="0" w:type="dxa"/>
              <w:bottom w:w="0" w:type="dxa"/>
              <w:right w:w="0" w:type="dxa"/>
            </w:tcMar>
          </w:tcPr>
          <w:p w14:paraId="13ED9C55">
            <w:pPr>
              <w:spacing w:after="200" w:line="240" w:lineRule="auto"/>
              <w:rPr>
                <w:rFonts w:hint="default" w:ascii="Times New Roman" w:hAnsi="Times New Roman" w:eastAsia="Times New Roman" w:cs="Times New Roman"/>
                <w:sz w:val="24"/>
                <w:szCs w:val="24"/>
                <w:highlight w:val="white"/>
              </w:rPr>
            </w:pPr>
            <w:r>
              <w:rPr>
                <w:rFonts w:hint="default" w:ascii="Times New Roman" w:hAnsi="Times New Roman" w:eastAsia="Times New Roman" w:cs="Times New Roman"/>
                <w:sz w:val="24"/>
                <w:szCs w:val="24"/>
                <w:highlight w:val="white"/>
              </w:rPr>
              <w:t>Features</w:t>
            </w:r>
          </w:p>
        </w:tc>
      </w:tr>
      <w:tr w14:paraId="68C1EF2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05" w:hRule="atLeast"/>
          <w:jc w:val="center"/>
        </w:trPr>
        <w:tc>
          <w:tcPr>
            <w:tcW w:w="4245" w:type="dxa"/>
            <w:tcBorders>
              <w:top w:val="single" w:color="000000" w:sz="8" w:space="0"/>
              <w:left w:val="single" w:color="000000" w:sz="8" w:space="0"/>
              <w:bottom w:val="single" w:color="D3D3D3" w:sz="8" w:space="0"/>
              <w:right w:val="single" w:color="000000" w:sz="8" w:space="0"/>
            </w:tcBorders>
            <w:shd w:val="clear" w:color="auto" w:fill="FFFFFF"/>
            <w:tcMar>
              <w:top w:w="120" w:type="dxa"/>
              <w:left w:w="0" w:type="dxa"/>
              <w:bottom w:w="120" w:type="dxa"/>
              <w:right w:w="0" w:type="dxa"/>
            </w:tcMar>
          </w:tcPr>
          <w:p w14:paraId="003A53E4">
            <w:pPr>
              <w:spacing w:after="200" w:line="240" w:lineRule="auto"/>
              <w:rPr>
                <w:rFonts w:hint="default" w:ascii="Times New Roman" w:hAnsi="Times New Roman" w:eastAsia="Times New Roman" w:cs="Times New Roman"/>
                <w:sz w:val="24"/>
                <w:szCs w:val="24"/>
                <w:highlight w:val="white"/>
              </w:rPr>
            </w:pPr>
            <w:r>
              <w:rPr>
                <w:rFonts w:hint="default" w:ascii="Times New Roman" w:hAnsi="Times New Roman" w:eastAsia="Times New Roman" w:cs="Times New Roman"/>
                <w:sz w:val="24"/>
                <w:szCs w:val="24"/>
                <w:highlight w:val="white"/>
              </w:rPr>
              <w:t>Categorical</w:t>
            </w:r>
          </w:p>
        </w:tc>
        <w:tc>
          <w:tcPr>
            <w:tcW w:w="4635" w:type="dxa"/>
            <w:tcBorders>
              <w:top w:val="single" w:color="000000" w:sz="8" w:space="0"/>
              <w:left w:val="single" w:color="000000" w:sz="8" w:space="0"/>
              <w:bottom w:val="single" w:color="D3D3D3" w:sz="8" w:space="0"/>
              <w:right w:val="single" w:color="000000" w:sz="8" w:space="0"/>
            </w:tcBorders>
            <w:shd w:val="clear" w:color="auto" w:fill="FFFFFF"/>
            <w:tcMar>
              <w:top w:w="120" w:type="dxa"/>
              <w:left w:w="0" w:type="dxa"/>
              <w:bottom w:w="120" w:type="dxa"/>
              <w:right w:w="0" w:type="dxa"/>
            </w:tcMar>
          </w:tcPr>
          <w:p w14:paraId="51B630EF">
            <w:pPr>
              <w:spacing w:after="200" w:line="240" w:lineRule="auto"/>
              <w:rPr>
                <w:rFonts w:hint="default" w:ascii="Times New Roman" w:hAnsi="Times New Roman" w:eastAsia="Times New Roman" w:cs="Times New Roman"/>
                <w:sz w:val="24"/>
                <w:szCs w:val="24"/>
                <w:highlight w:val="white"/>
              </w:rPr>
            </w:pPr>
            <w:r>
              <w:rPr>
                <w:rFonts w:hint="default" w:ascii="Times New Roman" w:hAnsi="Times New Roman" w:eastAsia="Times New Roman" w:cs="Times New Roman"/>
                <w:sz w:val="24"/>
                <w:szCs w:val="24"/>
                <w:highlight w:val="white"/>
              </w:rPr>
              <w:t>organism  •  antibiotic  •  antibiotic_class</w:t>
            </w:r>
          </w:p>
        </w:tc>
      </w:tr>
      <w:tr w14:paraId="72EDBC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220" w:hRule="atLeast"/>
          <w:jc w:val="center"/>
        </w:trPr>
        <w:tc>
          <w:tcPr>
            <w:tcW w:w="4245" w:type="dxa"/>
            <w:tcBorders>
              <w:top w:val="single" w:color="000000" w:sz="8" w:space="0"/>
              <w:left w:val="single" w:color="000000" w:sz="8" w:space="0"/>
              <w:bottom w:val="single" w:color="D3D3D3" w:sz="8" w:space="0"/>
              <w:right w:val="single" w:color="000000" w:sz="8" w:space="0"/>
            </w:tcBorders>
            <w:shd w:val="clear" w:color="auto" w:fill="FFFFFF"/>
            <w:tcMar>
              <w:top w:w="120" w:type="dxa"/>
              <w:left w:w="0" w:type="dxa"/>
              <w:bottom w:w="120" w:type="dxa"/>
              <w:right w:w="0" w:type="dxa"/>
            </w:tcMar>
          </w:tcPr>
          <w:p w14:paraId="509681C2">
            <w:pPr>
              <w:spacing w:after="200" w:line="240" w:lineRule="auto"/>
              <w:rPr>
                <w:rFonts w:hint="default" w:ascii="Times New Roman" w:hAnsi="Times New Roman" w:eastAsia="Times New Roman" w:cs="Times New Roman"/>
                <w:sz w:val="24"/>
                <w:szCs w:val="24"/>
                <w:highlight w:val="white"/>
              </w:rPr>
            </w:pPr>
            <w:r>
              <w:rPr>
                <w:rFonts w:hint="default" w:ascii="Times New Roman" w:hAnsi="Times New Roman" w:eastAsia="Times New Roman" w:cs="Times New Roman"/>
                <w:sz w:val="24"/>
                <w:szCs w:val="24"/>
                <w:highlight w:val="white"/>
              </w:rPr>
              <w:t>Numerical</w:t>
            </w:r>
          </w:p>
        </w:tc>
        <w:tc>
          <w:tcPr>
            <w:tcW w:w="4635" w:type="dxa"/>
            <w:tcBorders>
              <w:top w:val="single" w:color="000000" w:sz="8" w:space="0"/>
              <w:left w:val="single" w:color="000000" w:sz="8" w:space="0"/>
              <w:bottom w:val="single" w:color="D3D3D3" w:sz="8" w:space="0"/>
              <w:right w:val="single" w:color="000000" w:sz="8" w:space="0"/>
            </w:tcBorders>
            <w:shd w:val="clear" w:color="auto" w:fill="FFFFFF"/>
            <w:tcMar>
              <w:top w:w="120" w:type="dxa"/>
              <w:left w:w="0" w:type="dxa"/>
              <w:bottom w:w="120" w:type="dxa"/>
              <w:right w:w="0" w:type="dxa"/>
            </w:tcMar>
          </w:tcPr>
          <w:p w14:paraId="03249D69">
            <w:pPr>
              <w:spacing w:after="200" w:line="240" w:lineRule="auto"/>
              <w:rPr>
                <w:rFonts w:hint="default" w:ascii="Times New Roman" w:hAnsi="Times New Roman" w:eastAsia="Times New Roman" w:cs="Times New Roman"/>
                <w:sz w:val="24"/>
                <w:szCs w:val="24"/>
                <w:highlight w:val="white"/>
              </w:rPr>
            </w:pPr>
            <w:r>
              <w:rPr>
                <w:rFonts w:hint="default" w:ascii="Times New Roman" w:hAnsi="Times New Roman" w:eastAsia="Times New Roman" w:cs="Times New Roman"/>
                <w:sz w:val="24"/>
                <w:szCs w:val="24"/>
                <w:highlight w:val="white"/>
              </w:rPr>
              <w:t>year,  log_gdp_per_capita, health_expenditure_pct_gdp,  population_density_per_sq_km,  log_consumption_ddd_per_class,  sanitation_access_pct,  water_access_pct,  hospital_beds_per_1000,  mean_temp_celsius, aware_access_pct</w:t>
            </w:r>
          </w:p>
        </w:tc>
      </w:tr>
    </w:tbl>
    <w:p w14:paraId="2F7498C3">
      <w:pPr>
        <w:spacing w:after="160" w:line="240" w:lineRule="auto"/>
        <w:jc w:val="center"/>
        <w:rPr>
          <w:rFonts w:hint="default" w:ascii="Times New Roman" w:hAnsi="Times New Roman" w:eastAsia="Times New Roman" w:cs="Times New Roman"/>
          <w:i/>
          <w:iCs/>
          <w:sz w:val="24"/>
          <w:szCs w:val="24"/>
          <w:highlight w:val="white"/>
        </w:rPr>
      </w:pPr>
      <w:r>
        <w:rPr>
          <w:rFonts w:hint="default" w:ascii="Times New Roman" w:hAnsi="Times New Roman" w:eastAsia="Times New Roman" w:cs="Times New Roman"/>
          <w:i/>
          <w:iCs/>
          <w:sz w:val="24"/>
          <w:szCs w:val="24"/>
          <w:highlight w:val="white"/>
        </w:rPr>
        <w:t xml:space="preserve">Table 1: Final feature set used for model training and inference. </w:t>
      </w:r>
    </w:p>
    <w:p w14:paraId="28F41DA2">
      <w:pPr>
        <w:pStyle w:val="13"/>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2.3 Cross-Country Generalization Design</w:t>
      </w:r>
    </w:p>
    <w:p w14:paraId="3CDD6EF1">
      <w:pPr>
        <w:pStyle w:val="13"/>
        <w:rPr>
          <w:rFonts w:hint="default" w:ascii="Times New Roman" w:hAnsi="Times New Roman" w:cs="Times New Roman"/>
          <w:sz w:val="24"/>
          <w:szCs w:val="24"/>
          <w:lang w:val="en-US"/>
        </w:rPr>
      </w:pPr>
      <w:r>
        <w:rPr>
          <w:rStyle w:val="26"/>
          <w:rFonts w:hint="default" w:ascii="Times New Roman" w:hAnsi="Times New Roman" w:cs="Times New Roman"/>
          <w:sz w:val="24"/>
          <w:szCs w:val="24"/>
          <w:lang w:val="en-US"/>
        </w:rPr>
        <w:t>The primary model was constructed based on global AMR data and applied to Kazakhstan as an unseen region, assuming that no information about AMR status in Kazakhstan itself was known, but only proxy variables related to macroeconomic indicators and antibiotic consumption. The model was not trained, validated, or subjected to early stopping on any data from Kazakhstan.</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National antibiotic consumption data (defined daily doses per 1,000 inhabitants per day, 2017–2023) were combined with the six priority pathogens identified by WHO (</w:t>
      </w:r>
      <w:r>
        <w:rPr>
          <w:rStyle w:val="11"/>
          <w:rFonts w:hint="default" w:ascii="Times New Roman" w:hAnsi="Times New Roman" w:cs="Times New Roman"/>
          <w:sz w:val="24"/>
          <w:szCs w:val="24"/>
          <w:lang w:val="en-US"/>
        </w:rPr>
        <w:t>E. coli</w:t>
      </w:r>
      <w:r>
        <w:rPr>
          <w:rStyle w:val="26"/>
          <w:rFonts w:hint="default" w:ascii="Times New Roman" w:hAnsi="Times New Roman" w:cs="Times New Roman"/>
          <w:sz w:val="24"/>
          <w:szCs w:val="24"/>
          <w:lang w:val="en-US"/>
        </w:rPr>
        <w:t xml:space="preserve">, </w:t>
      </w:r>
      <w:r>
        <w:rPr>
          <w:rStyle w:val="11"/>
          <w:rFonts w:hint="default" w:ascii="Times New Roman" w:hAnsi="Times New Roman" w:cs="Times New Roman"/>
          <w:sz w:val="24"/>
          <w:szCs w:val="24"/>
          <w:lang w:val="en-US"/>
        </w:rPr>
        <w:t>K. pneumoniae</w:t>
      </w:r>
      <w:r>
        <w:rPr>
          <w:rStyle w:val="26"/>
          <w:rFonts w:hint="default" w:ascii="Times New Roman" w:hAnsi="Times New Roman" w:cs="Times New Roman"/>
          <w:sz w:val="24"/>
          <w:szCs w:val="24"/>
          <w:lang w:val="en-US"/>
        </w:rPr>
        <w:t xml:space="preserve">, </w:t>
      </w:r>
      <w:r>
        <w:rPr>
          <w:rStyle w:val="11"/>
          <w:rFonts w:hint="default" w:ascii="Times New Roman" w:hAnsi="Times New Roman" w:cs="Times New Roman"/>
          <w:sz w:val="24"/>
          <w:szCs w:val="24"/>
          <w:lang w:val="en-US"/>
        </w:rPr>
        <w:t>S. aureus</w:t>
      </w:r>
      <w:r>
        <w:rPr>
          <w:rStyle w:val="26"/>
          <w:rFonts w:hint="default" w:ascii="Times New Roman" w:hAnsi="Times New Roman" w:cs="Times New Roman"/>
          <w:sz w:val="24"/>
          <w:szCs w:val="24"/>
          <w:lang w:val="en-US"/>
        </w:rPr>
        <w:t xml:space="preserve">, </w:t>
      </w:r>
      <w:r>
        <w:rPr>
          <w:rStyle w:val="11"/>
          <w:rFonts w:hint="default" w:ascii="Times New Roman" w:hAnsi="Times New Roman" w:cs="Times New Roman"/>
          <w:sz w:val="24"/>
          <w:szCs w:val="24"/>
          <w:lang w:val="en-US"/>
        </w:rPr>
        <w:t>P. aeruginosa</w:t>
      </w:r>
      <w:r>
        <w:rPr>
          <w:rStyle w:val="26"/>
          <w:rFonts w:hint="default" w:ascii="Times New Roman" w:hAnsi="Times New Roman" w:cs="Times New Roman"/>
          <w:sz w:val="24"/>
          <w:szCs w:val="24"/>
          <w:lang w:val="en-US"/>
        </w:rPr>
        <w:t xml:space="preserve">, </w:t>
      </w:r>
      <w:r>
        <w:rPr>
          <w:rStyle w:val="11"/>
          <w:rFonts w:hint="default" w:ascii="Times New Roman" w:hAnsi="Times New Roman" w:cs="Times New Roman"/>
          <w:sz w:val="24"/>
          <w:szCs w:val="24"/>
          <w:lang w:val="en-US"/>
        </w:rPr>
        <w:t>A. baumannii</w:t>
      </w:r>
      <w:r>
        <w:rPr>
          <w:rStyle w:val="26"/>
          <w:rFonts w:hint="default" w:ascii="Times New Roman" w:hAnsi="Times New Roman" w:cs="Times New Roman"/>
          <w:sz w:val="24"/>
          <w:szCs w:val="24"/>
          <w:lang w:val="en-US"/>
        </w:rPr>
        <w:t xml:space="preserve">, </w:t>
      </w:r>
      <w:r>
        <w:rPr>
          <w:rStyle w:val="11"/>
          <w:rFonts w:hint="default" w:ascii="Times New Roman" w:hAnsi="Times New Roman" w:cs="Times New Roman"/>
          <w:sz w:val="24"/>
          <w:szCs w:val="24"/>
          <w:lang w:val="en-US"/>
        </w:rPr>
        <w:t>E. faecium</w:t>
      </w:r>
      <w:r>
        <w:rPr>
          <w:rStyle w:val="26"/>
          <w:rFonts w:hint="default" w:ascii="Times New Roman" w:hAnsi="Times New Roman" w:cs="Times New Roman"/>
          <w:sz w:val="24"/>
          <w:szCs w:val="24"/>
          <w:lang w:val="en-US"/>
        </w:rPr>
        <w:t>) to produce 480 organism–antibiotic–year inferences for Kazakhstan's inference grid.</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All features were imputed and log-transformed as was done with the worldwide dataset (Sections 2.2.2–2.2.3), though the pharmacological class was also constructed.</w:t>
      </w:r>
    </w:p>
    <w:p w14:paraId="136E0C06">
      <w:pPr>
        <w:pStyle w:val="13"/>
        <w:rPr>
          <w:rFonts w:hint="default" w:ascii="Times New Roman" w:hAnsi="Times New Roman" w:cs="Times New Roman"/>
          <w:sz w:val="24"/>
          <w:szCs w:val="24"/>
          <w:lang w:val="en-US"/>
        </w:rPr>
      </w:pPr>
      <w:r>
        <w:rPr>
          <w:rStyle w:val="26"/>
          <w:rFonts w:hint="default" w:ascii="Times New Roman" w:hAnsi="Times New Roman" w:cs="Times New Roman"/>
          <w:sz w:val="24"/>
          <w:szCs w:val="24"/>
          <w:lang w:val="en-US"/>
        </w:rPr>
        <w:t>The primary model was implemented with the leave-one-country-out (LOCO) method, where all remaining 85 countries were used for model training but not Kazakhstan.</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For sensitivity assessment related to the choice of reference population, a post-Soviet model (Russia, Ukraine, Belarus, Lithuania, Latvia, Estonia) [4, 10] was also fitted, drawn from countries that share the legacy of the Soviet healthcare system.</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A data-driven structural-peer group was further explored using k-means clustering of standardized country-level macroeconomic and consumption indicators (k = 6); however, Kazakhstan emerged as a singleton cluster, with its closest neighbours being mostly post-Soviet and Eastern European middle-income countries.</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As no distinct peer group could be formed, no structural-peer comparison was conducted, and inference relied on the global LOCO model.</w:t>
      </w:r>
    </w:p>
    <w:p w14:paraId="3EF7941D">
      <w:pPr>
        <w:pStyle w:val="13"/>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2.4 Model Development</w:t>
      </w:r>
    </w:p>
    <w:p w14:paraId="5A7FD513">
      <w:pPr>
        <w:pStyle w:val="13"/>
        <w:rPr>
          <w:rFonts w:hint="default" w:ascii="Times New Roman" w:hAnsi="Times New Roman" w:cs="Times New Roman"/>
          <w:sz w:val="24"/>
          <w:szCs w:val="24"/>
          <w:lang w:val="en-US"/>
        </w:rPr>
      </w:pPr>
      <w:r>
        <w:rPr>
          <w:rStyle w:val="26"/>
          <w:rFonts w:hint="default" w:ascii="Times New Roman" w:hAnsi="Times New Roman" w:cs="Times New Roman"/>
          <w:sz w:val="24"/>
          <w:szCs w:val="24"/>
          <w:lang w:val="en-US"/>
        </w:rPr>
        <w:t>The following algorithms were experimented with: gradient-boosted models (LightGBM, CatBoost) and ensemble/interpretable baselines (Random Forest, Logistic Regression).</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For the gradient-boosted models, positive-class weight (scale_pos_weight) was used to handle class imbalance (resistant/susceptible ≈ 1:4), while balanced class weights were applied for Logistic Regression and Random Forest.</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Owing to computational constraints, hyperparameters were tuned once on the full global dataset rather than separately within each LOCO fold.</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However, this is not a major concern as no single country accounts for more than 5 % of the total 85 training countries.</w:t>
      </w:r>
    </w:p>
    <w:p w14:paraId="12D697E1">
      <w:pPr>
        <w:pStyle w:val="13"/>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2.5 Evaluation Methods</w:t>
      </w:r>
    </w:p>
    <w:p w14:paraId="334C9356">
      <w:pPr>
        <w:pStyle w:val="13"/>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2.5.1 General Evaluation Metrics</w:t>
      </w:r>
    </w:p>
    <w:p w14:paraId="661ACD17">
      <w:pPr>
        <w:pStyle w:val="13"/>
        <w:rPr>
          <w:rFonts w:hint="default" w:ascii="Times New Roman" w:hAnsi="Times New Roman" w:cs="Times New Roman"/>
          <w:sz w:val="24"/>
          <w:szCs w:val="24"/>
          <w:lang w:val="en-US"/>
        </w:rPr>
      </w:pPr>
      <w:r>
        <w:rPr>
          <w:rStyle w:val="26"/>
          <w:rFonts w:hint="default" w:ascii="Times New Roman" w:hAnsi="Times New Roman" w:cs="Times New Roman"/>
          <w:sz w:val="24"/>
          <w:szCs w:val="24"/>
          <w:lang w:val="en-US"/>
        </w:rPr>
        <w:t>The following metrics were used to assess the models' performance: AUC (Area Under the Curve), AUPRC (Area Under the Precision-Recall Curve), recall, F1 score, calibration-based metrics (Brier score and BSS: Brier Skill Score), and ECE (Expected Calibration Error).</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For this reason, recall and AUPRC were selected as co-primary metrics, as resistant infections may have clinical implications because falsely treated resistant infections may lead to further spread of resistance, while falsely considered "susceptible" infections do not¹⁸.</w:t>
      </w:r>
    </w:p>
    <w:p w14:paraId="67385C92">
      <w:pPr>
        <w:pStyle w:val="13"/>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2.5.2 Calibration Methods</w:t>
      </w:r>
    </w:p>
    <w:p w14:paraId="2625869F">
      <w:pPr>
        <w:pStyle w:val="13"/>
        <w:rPr>
          <w:rFonts w:hint="default" w:ascii="Times New Roman" w:hAnsi="Times New Roman" w:cs="Times New Roman"/>
          <w:sz w:val="24"/>
          <w:szCs w:val="24"/>
          <w:lang w:val="en-US"/>
        </w:rPr>
      </w:pPr>
      <w:r>
        <w:rPr>
          <w:rStyle w:val="26"/>
          <w:rFonts w:hint="default" w:ascii="Times New Roman" w:hAnsi="Times New Roman" w:cs="Times New Roman"/>
          <w:sz w:val="24"/>
          <w:szCs w:val="24"/>
          <w:lang w:val="en-US"/>
        </w:rPr>
        <w:t>The degree of calibration was evaluated using ECE and BSS.</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Isotonic regression was performed on the validation cohort (2019–2020), while the test set and Kazakhstan inference sets were calibrated by isotonic regression.</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Calibration data were mainly gathered from high-income countries, which might lead to domain shift when transferring the calibration data to Kazakhstan's dataset; this can be mitigated by the post-Soviet cluster, considering the similarities in the macro-feature space.</w:t>
      </w:r>
    </w:p>
    <w:p w14:paraId="2255E48B">
      <w:pPr>
        <w:pStyle w:val="13"/>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2.5.3 Pairwise Model Comparison Method</w:t>
      </w:r>
    </w:p>
    <w:p w14:paraId="5DB24771">
      <w:pPr>
        <w:pStyle w:val="13"/>
        <w:rPr>
          <w:rFonts w:hint="default" w:ascii="Times New Roman" w:hAnsi="Times New Roman" w:cs="Times New Roman"/>
          <w:sz w:val="24"/>
          <w:szCs w:val="24"/>
          <w:lang w:val="en-US"/>
        </w:rPr>
      </w:pPr>
      <w:r>
        <w:rPr>
          <w:rStyle w:val="26"/>
          <w:rFonts w:hint="default" w:ascii="Times New Roman" w:hAnsi="Times New Roman" w:cs="Times New Roman"/>
          <w:sz w:val="24"/>
          <w:szCs w:val="24"/>
          <w:lang w:val="en-US"/>
        </w:rPr>
        <w:t>Six paired comparisons of AUCs were performed between the four candidate models using the DeLong test¹⁹.</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The main procedure was Benjamini-Hochberg FDR correction: a collection of 6 raw p-values (one for each test) was assembled, and each p-value was corrected for FDR using the standard step-up procedure (p-values were ranked, and each was compared to the modified critical value 0.05 × (i/6), where i is the rank).</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 xml:space="preserve">At </w:t>
      </w:r>
      <w:r>
        <w:rPr>
          <w:rStyle w:val="26"/>
          <w:rFonts w:hint="default" w:ascii="Times New Roman" w:hAnsi="Times New Roman" w:cs="Times New Roman"/>
          <w:sz w:val="24"/>
          <w:szCs w:val="24"/>
        </w:rPr>
        <w:t>α</w:t>
      </w:r>
      <w:r>
        <w:rPr>
          <w:rStyle w:val="26"/>
          <w:rFonts w:hint="default" w:ascii="Times New Roman" w:hAnsi="Times New Roman" w:cs="Times New Roman"/>
          <w:sz w:val="24"/>
          <w:szCs w:val="24"/>
          <w:lang w:val="en-US"/>
        </w:rPr>
        <w:t xml:space="preserve"> = 0.05, significance was determined based on the corrected p-value.</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For a full picture, Bonferroni-corrected p-values (typically a conservative correction with a large n) are also reported along with Benjamini-Hochberg FDR correction.</w:t>
      </w:r>
    </w:p>
    <w:p w14:paraId="7328E298">
      <w:pPr>
        <w:pStyle w:val="13"/>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2.5.4 Validation Methods</w:t>
      </w:r>
    </w:p>
    <w:p w14:paraId="1B4610D3">
      <w:pPr>
        <w:pStyle w:val="13"/>
        <w:rPr>
          <w:rFonts w:hint="default" w:ascii="Times New Roman" w:hAnsi="Times New Roman" w:cs="Times New Roman"/>
          <w:sz w:val="24"/>
          <w:szCs w:val="24"/>
          <w:lang w:val="en-US"/>
        </w:rPr>
      </w:pPr>
      <w:r>
        <w:rPr>
          <w:rStyle w:val="26"/>
          <w:rFonts w:hint="default" w:ascii="Times New Roman" w:hAnsi="Times New Roman" w:cs="Times New Roman"/>
          <w:sz w:val="24"/>
          <w:szCs w:val="24"/>
          <w:lang w:val="en-US"/>
        </w:rPr>
        <w:t>For geographic generalization testing, we utilized LOCO cross-validation (with early stopping during the years 2019–2020) and four-country hold-out testing (in which each of the four countries had no data in the training set and no data from the held-out set were used for early stopping, and each country was held out separately to test the models with its 100% dataset).</w:t>
      </w:r>
    </w:p>
    <w:p w14:paraId="59819A41">
      <w:pPr>
        <w:pStyle w:val="13"/>
        <w:rPr>
          <w:rFonts w:hint="default" w:ascii="Times New Roman" w:hAnsi="Times New Roman" w:cs="Times New Roman"/>
          <w:sz w:val="24"/>
          <w:szCs w:val="24"/>
          <w:lang w:val="en-US"/>
        </w:rPr>
      </w:pPr>
      <w:r>
        <w:rPr>
          <w:rStyle w:val="26"/>
          <w:rFonts w:hint="default" w:ascii="Times New Roman" w:hAnsi="Times New Roman" w:cs="Times New Roman"/>
          <w:sz w:val="24"/>
          <w:szCs w:val="24"/>
          <w:lang w:val="en-US"/>
        </w:rPr>
        <w:t>A temporal robustness evaluation technique was adopted: rolling-origin (expanding-window) cross-validation.</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The training set consisted of all data up to the year specified, and the validation set consisted of data from the following year.</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Thus, validation data were always in the future relative to the training data (≤2016 → 2017, ≤2017 → 2018, ≤2018 → 2019, ≤2019 → 2020).</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The leakage-safe discipline of the main pipeline was followed: parameters (imputation, scale_pos_weight, isotonic calibration) were re-derived using the training data from each fold, and early stopping was applied to an inner subset of the training years, not the validation year.</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Discrimination (AUC, AUPRC) was computed from raw scores, while calibration-dependent measures were computed from probabilities after isotonic calibration.</w:t>
      </w:r>
    </w:p>
    <w:p w14:paraId="1E93AC90">
      <w:pPr>
        <w:pStyle w:val="13"/>
        <w:rPr>
          <w:rFonts w:hint="default" w:ascii="Times New Roman" w:hAnsi="Times New Roman" w:cs="Times New Roman"/>
          <w:sz w:val="24"/>
          <w:szCs w:val="24"/>
          <w:lang w:val="en-US"/>
        </w:rPr>
      </w:pPr>
      <w:r>
        <w:rPr>
          <w:rStyle w:val="26"/>
          <w:rFonts w:hint="default" w:ascii="Times New Roman" w:hAnsi="Times New Roman" w:cs="Times New Roman"/>
          <w:sz w:val="24"/>
          <w:szCs w:val="24"/>
          <w:lang w:val="en-US"/>
        </w:rPr>
        <w:t>Spearman's rank correlation analysis was used to examine the trend in predicted resistance in Kazakhstan, with false-discovery rate (FDR) correction based on the Benjamini-Hochberg procedure at the organism level (2017–2023) for the six pathogens.</w:t>
      </w:r>
    </w:p>
    <w:p w14:paraId="32D978ED">
      <w:pPr>
        <w:pStyle w:val="13"/>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2.5.5 Feature Analysis Methods</w:t>
      </w:r>
    </w:p>
    <w:p w14:paraId="5F636F01">
      <w:pPr>
        <w:pStyle w:val="13"/>
        <w:rPr>
          <w:rFonts w:hint="default" w:ascii="Times New Roman" w:hAnsi="Times New Roman" w:cs="Times New Roman"/>
          <w:sz w:val="24"/>
          <w:szCs w:val="24"/>
          <w:lang w:val="en-US"/>
        </w:rPr>
      </w:pPr>
      <w:r>
        <w:rPr>
          <w:rStyle w:val="26"/>
          <w:rFonts w:hint="default" w:ascii="Times New Roman" w:hAnsi="Times New Roman" w:cs="Times New Roman"/>
          <w:sz w:val="24"/>
          <w:szCs w:val="24"/>
          <w:lang w:val="en-US"/>
        </w:rPr>
        <w:t>Feature importance was computed for the CatBoost model using the PredictionValuesChange metric, while SHAP values were computed on the stratified test set (n = 5,000) using TreeExplainer²⁰.</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Note that the two measures can yield different rankings when there is temporal correlation among features: PredictionValuesChange measures the difference across all predictions, and SHAP measures the marginal contribution of each feature.</w:t>
      </w:r>
    </w:p>
    <w:p w14:paraId="103B6A54">
      <w:pPr>
        <w:pStyle w:val="13"/>
        <w:rPr>
          <w:rFonts w:hint="default" w:ascii="Times New Roman" w:hAnsi="Times New Roman" w:cs="Times New Roman"/>
          <w:sz w:val="24"/>
          <w:szCs w:val="24"/>
          <w:lang w:val="en-US"/>
        </w:rPr>
      </w:pPr>
      <w:r>
        <w:rPr>
          <w:rStyle w:val="11"/>
          <w:rFonts w:hint="default" w:ascii="Times New Roman" w:hAnsi="Times New Roman" w:cs="Times New Roman"/>
          <w:b/>
          <w:bCs/>
          <w:sz w:val="24"/>
          <w:szCs w:val="24"/>
          <w:lang w:val="en-US"/>
        </w:rPr>
        <w:t> </w:t>
      </w:r>
      <w:r>
        <w:rPr>
          <w:rStyle w:val="14"/>
          <w:rFonts w:hint="default" w:ascii="Times New Roman" w:hAnsi="Times New Roman" w:cs="Times New Roman"/>
          <w:sz w:val="24"/>
          <w:szCs w:val="24"/>
          <w:lang w:val="en-US"/>
        </w:rPr>
        <w:t>2.5.6 Face Validity Method</w:t>
      </w:r>
    </w:p>
    <w:p w14:paraId="405A99F8">
      <w:pPr>
        <w:pStyle w:val="13"/>
        <w:rPr>
          <w:rFonts w:hint="default" w:ascii="Times New Roman" w:hAnsi="Times New Roman" w:cs="Times New Roman"/>
          <w:sz w:val="24"/>
          <w:szCs w:val="24"/>
          <w:lang w:val="en-US"/>
        </w:rPr>
      </w:pPr>
      <w:r>
        <w:rPr>
          <w:rStyle w:val="26"/>
          <w:rFonts w:hint="default" w:ascii="Times New Roman" w:hAnsi="Times New Roman" w:cs="Times New Roman"/>
          <w:sz w:val="24"/>
          <w:szCs w:val="24"/>
          <w:lang w:val="en-US"/>
        </w:rPr>
        <w:t>The primary model's calibrated resistance probabilities were compared with the resistance rates reported in published clinical studies in Kazakhstan to check face validity.</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Antibiotic–pathogen combinations were chosen that were reported with explicit resistance percentages for the pathogen with clear endpoints, and combinations of these antibiotic–pathogen relations were present in the inference grid.</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For each of the combinations, the predicted value was the average calibrated probability for the years in question.</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There was an expected downward bias because the model estimates national-level resistance while the studies reported higher-acuity hospitalized subpopulations, which necessitated a directional interpretation of the comparisons with an absolute deviation of more than 25 percentage points recorded as a substantive difference.</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Since there were a limited number of similar combinations (n = 4), a formal statistical test was not used.</w:t>
      </w:r>
    </w:p>
    <w:p w14:paraId="25678FCD">
      <w:pPr>
        <w:pStyle w:val="13"/>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2.6 Data Availability</w:t>
      </w:r>
    </w:p>
    <w:p w14:paraId="50B155AB">
      <w:pPr>
        <w:pStyle w:val="13"/>
        <w:rPr>
          <w:rFonts w:hint="default" w:ascii="Times New Roman" w:hAnsi="Times New Roman" w:cs="Times New Roman"/>
          <w:sz w:val="24"/>
          <w:szCs w:val="24"/>
          <w:lang w:val="en-US"/>
        </w:rPr>
      </w:pPr>
      <w:r>
        <w:rPr>
          <w:rStyle w:val="26"/>
          <w:rFonts w:hint="default" w:ascii="Times New Roman" w:hAnsi="Times New Roman" w:cs="Times New Roman"/>
          <w:sz w:val="24"/>
          <w:szCs w:val="24"/>
          <w:lang w:val="en-US"/>
        </w:rPr>
        <w:t>The data and code reported in this article are made available on Zenodo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"https://doi.org/10.5281/zenodo.20727165" \t "_blank" </w:instrText>
      </w:r>
      <w:r>
        <w:rPr>
          <w:rFonts w:hint="default" w:ascii="Times New Roman" w:hAnsi="Times New Roman" w:cs="Times New Roman"/>
          <w:sz w:val="24"/>
          <w:szCs w:val="24"/>
        </w:rPr>
        <w:fldChar w:fldCharType="separate"/>
      </w:r>
      <w:r>
        <w:rPr>
          <w:rStyle w:val="26"/>
          <w:rFonts w:hint="default" w:ascii="Times New Roman" w:hAnsi="Times New Roman" w:cs="Times New Roman"/>
          <w:color w:val="0000FF"/>
          <w:sz w:val="24"/>
          <w:szCs w:val="24"/>
          <w:u w:val="single"/>
          <w:lang w:val="en-US"/>
        </w:rPr>
        <w:t>https://doi.org/10.5281/zenodo.20727165</w:t>
      </w:r>
      <w:r>
        <w:rPr>
          <w:rStyle w:val="26"/>
          <w:rFonts w:hint="default" w:ascii="Times New Roman" w:hAnsi="Times New Roman" w:cs="Times New Roman"/>
          <w:color w:val="0000FF"/>
          <w:sz w:val="24"/>
          <w:szCs w:val="24"/>
          <w:u w:val="single"/>
          <w:lang w:val="en-US"/>
        </w:rPr>
        <w:fldChar w:fldCharType="end"/>
      </w:r>
      <w:r>
        <w:rPr>
          <w:rStyle w:val="26"/>
          <w:rFonts w:hint="default" w:ascii="Times New Roman" w:hAnsi="Times New Roman" w:cs="Times New Roman"/>
          <w:sz w:val="24"/>
          <w:szCs w:val="24"/>
          <w:lang w:val="en-US"/>
        </w:rPr>
        <w:t>).</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The deposit contains a single reproducibility notebook implementing the full pipeline, together with the supplementary reference tables (reference_tables.pdf: organism-specific MIC breakpoints, antibiotic-to-class and Kazakhstan antibiotic name mappings, and per-model hyperparameters) and the complete antibiotic–organism–year resistance-probability grid for Kazakhstan</w:t>
      </w:r>
      <w:r>
        <w:rPr>
          <w:rFonts w:hint="default" w:ascii="Times New Roman" w:hAnsi="Times New Roman" w:cs="Times New Roman"/>
          <w:sz w:val="24"/>
          <w:szCs w:val="24"/>
          <w:lang w:val="en-US"/>
        </w:rPr>
        <w:t xml:space="preserve"> (kz_predictions.csv). </w:t>
      </w:r>
      <w:r>
        <w:rPr>
          <w:rStyle w:val="26"/>
          <w:rFonts w:hint="default" w:ascii="Times New Roman" w:hAnsi="Times New Roman" w:cs="Times New Roman"/>
          <w:sz w:val="24"/>
          <w:szCs w:val="24"/>
          <w:lang w:val="en-US"/>
        </w:rPr>
        <w:t>The global isolate-level training data (ATLAS: Pfizer; SIDERO-WT: Shionogi; KEYSTONE) are governed by Data Use Agreements with Vivli and cannot be redistributed freely; reproducing the full training pipeline therefore requires a separate data-access application through Vivli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"https://vivli.org" \t "_blank" </w:instrText>
      </w:r>
      <w:r>
        <w:rPr>
          <w:rFonts w:hint="default" w:ascii="Times New Roman" w:hAnsi="Times New Roman" w:cs="Times New Roman"/>
          <w:sz w:val="24"/>
          <w:szCs w:val="24"/>
        </w:rPr>
        <w:fldChar w:fldCharType="separate"/>
      </w:r>
      <w:r>
        <w:rPr>
          <w:rStyle w:val="26"/>
          <w:rFonts w:hint="default" w:ascii="Times New Roman" w:hAnsi="Times New Roman" w:cs="Times New Roman"/>
          <w:color w:val="0000FF"/>
          <w:sz w:val="24"/>
          <w:szCs w:val="24"/>
          <w:u w:val="single"/>
          <w:lang w:val="en-US"/>
        </w:rPr>
        <w:t>https://vivli.org</w:t>
      </w:r>
      <w:r>
        <w:rPr>
          <w:rStyle w:val="26"/>
          <w:rFonts w:hint="default" w:ascii="Times New Roman" w:hAnsi="Times New Roman" w:cs="Times New Roman"/>
          <w:color w:val="0000FF"/>
          <w:sz w:val="24"/>
          <w:szCs w:val="24"/>
          <w:u w:val="single"/>
          <w:lang w:val="en-US"/>
        </w:rPr>
        <w:fldChar w:fldCharType="end"/>
      </w:r>
      <w:r>
        <w:rPr>
          <w:rStyle w:val="26"/>
          <w:rFonts w:hint="default" w:ascii="Times New Roman" w:hAnsi="Times New Roman" w:cs="Times New Roman"/>
          <w:sz w:val="24"/>
          <w:szCs w:val="24"/>
          <w:lang w:val="en-US"/>
        </w:rPr>
        <w:t>).</w:t>
      </w:r>
    </w:p>
    <w:p w14:paraId="205648C8">
      <w:pPr>
        <w:pStyle w:val="13"/>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2.7 Ethics</w:t>
      </w:r>
    </w:p>
    <w:p w14:paraId="7438310C">
      <w:pPr>
        <w:pStyle w:val="13"/>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This study used only de-identified, aggregate, or publicly available data, together with isolate-level susceptibility data obtained under data-use agreements. It did not involve human participants, the collection of biological specimens, or access to identifiable patient information, and no informed consent was required. The study was reviewed and determined exempt from institutional review board (IRB) review.</w:t>
      </w:r>
    </w:p>
    <w:p w14:paraId="7CBE1EB1">
      <w:pPr>
        <w:pStyle w:val="13"/>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3. Results</w:t>
      </w:r>
    </w:p>
    <w:p w14:paraId="5AF13774">
      <w:pPr>
        <w:pStyle w:val="13"/>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3.1 Data Overview</w:t>
      </w:r>
    </w:p>
    <w:p w14:paraId="36B918FE">
      <w:pPr>
        <w:pStyle w:val="13"/>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The final dataset comprised 11,275,172 susceptibility results indicating whether an organism was resistant or susceptible to a given antibiotic, spanning 85 countries over 19 years (2004–2023). </w:t>
      </w:r>
      <w:r>
        <w:rPr>
          <w:rStyle w:val="26"/>
          <w:rFonts w:hint="default" w:ascii="Times New Roman" w:hAnsi="Times New Roman" w:cs="Times New Roman"/>
          <w:sz w:val="24"/>
          <w:szCs w:val="24"/>
          <w:lang w:val="en-US"/>
        </w:rPr>
        <w:t>Resistant results accounted for 19.8% (2,236,071 resistant samples out of 11,275,172).</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Under the temporal split, there were 7,203,908 training records (≤2018, 18.9% resistant), 1,601,179 validation records (2019–2020, 21.6% resistant), and 2,470,085 hold-out test records (&gt;2020, 21.4% resistant).</w:t>
      </w:r>
    </w:p>
    <w:p w14:paraId="3F13CD18">
      <w:pPr>
        <w:pStyle w:val="13"/>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3.2 Model Performance</w:t>
      </w:r>
    </w:p>
    <w:p w14:paraId="6418548A">
      <w:pPr>
        <w:pStyle w:val="13"/>
        <w:rPr>
          <w:rFonts w:hint="default" w:ascii="Times New Roman" w:hAnsi="Times New Roman" w:cs="Times New Roman"/>
          <w:sz w:val="24"/>
          <w:szCs w:val="24"/>
          <w:lang w:val="en-US"/>
        </w:rPr>
      </w:pPr>
      <w:r>
        <w:rPr>
          <w:rStyle w:val="26"/>
          <w:rFonts w:hint="default" w:ascii="Times New Roman" w:hAnsi="Times New Roman" w:cs="Times New Roman"/>
          <w:sz w:val="24"/>
          <w:szCs w:val="24"/>
          <w:lang w:val="en-US"/>
        </w:rPr>
        <w:t>On the hold-out dataset (&gt;2020), LightGBM attained the highest AUC (0.8512), and CatBoost the highest AUPRC (0.6496) and Recall@0.2 (0.7970).</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The selected final model was CatBoost, which achieved the pre-specified Recall score and AUPRC (Section 2.5.1).</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CatBoost's test values for AUC, AUPRC, and F1@0.2 were 0.8490, 0.6496, and 0.5612, respectively (Table 2).</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In the pairwise comparisons, after Benjamini–Hochberg correction of p-values from the DeLong test, all six pairwise AUC differences were statistically significant; however, the CatBoost–LightGBM difference was significant but negligible in magnitude (</w:t>
      </w:r>
      <w:r>
        <w:rPr>
          <w:rStyle w:val="26"/>
          <w:rFonts w:hint="default" w:ascii="Times New Roman" w:hAnsi="Times New Roman" w:cs="Times New Roman"/>
          <w:sz w:val="24"/>
          <w:szCs w:val="24"/>
        </w:rPr>
        <w:t>Δ</w:t>
      </w:r>
      <w:r>
        <w:rPr>
          <w:rStyle w:val="26"/>
          <w:rFonts w:hint="default" w:ascii="Times New Roman" w:hAnsi="Times New Roman" w:cs="Times New Roman"/>
          <w:sz w:val="24"/>
          <w:szCs w:val="24"/>
          <w:lang w:val="en-US"/>
        </w:rPr>
        <w:t>AUC = 0.0022).</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Both gradient-boosted models were significantly better than Random Forest and Logistic Regression (p_BH &lt; 0.001).</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Isotonic regression improved ECE for CatBoost from 0.1780 to 0.0120, raised the Brier skill score from −0.0017 (pre-calibration) to 0.3131, and did not change AUC (Table 2).</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5"/>
        <w:gridCol w:w="1915"/>
        <w:gridCol w:w="1915"/>
        <w:gridCol w:w="1915"/>
        <w:gridCol w:w="1916"/>
      </w:tblGrid>
      <w:tr w14:paraId="19F5A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5D2F80E2">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Metric</w:t>
            </w:r>
          </w:p>
        </w:tc>
        <w:tc>
          <w:tcPr>
            <w:tcW w:w="1915" w:type="dxa"/>
          </w:tcPr>
          <w:p w14:paraId="7D5CE5F7">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CatBoost</w:t>
            </w:r>
          </w:p>
        </w:tc>
        <w:tc>
          <w:tcPr>
            <w:tcW w:w="1915" w:type="dxa"/>
          </w:tcPr>
          <w:p w14:paraId="45204369">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LightGBM</w:t>
            </w:r>
          </w:p>
        </w:tc>
        <w:tc>
          <w:tcPr>
            <w:tcW w:w="1915" w:type="dxa"/>
          </w:tcPr>
          <w:p w14:paraId="51534CA1">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Random Forest</w:t>
            </w:r>
          </w:p>
        </w:tc>
        <w:tc>
          <w:tcPr>
            <w:tcW w:w="1916" w:type="dxa"/>
          </w:tcPr>
          <w:p w14:paraId="0750ECED">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Logistic Regression</w:t>
            </w:r>
          </w:p>
        </w:tc>
      </w:tr>
      <w:tr w14:paraId="6AE3B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783C0069">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AUC</w:t>
            </w:r>
          </w:p>
        </w:tc>
        <w:tc>
          <w:tcPr>
            <w:tcW w:w="1915" w:type="dxa"/>
          </w:tcPr>
          <w:p w14:paraId="15875EE2">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0.8490</w:t>
            </w:r>
          </w:p>
        </w:tc>
        <w:tc>
          <w:tcPr>
            <w:tcW w:w="1915" w:type="dxa"/>
          </w:tcPr>
          <w:p w14:paraId="60A8268E">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0.8512</w:t>
            </w:r>
          </w:p>
        </w:tc>
        <w:tc>
          <w:tcPr>
            <w:tcW w:w="1915" w:type="dxa"/>
          </w:tcPr>
          <w:p w14:paraId="5347F058">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0.8199</w:t>
            </w:r>
          </w:p>
        </w:tc>
        <w:tc>
          <w:tcPr>
            <w:tcW w:w="1916" w:type="dxa"/>
          </w:tcPr>
          <w:p w14:paraId="5FD99A22">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0.7940</w:t>
            </w:r>
          </w:p>
        </w:tc>
      </w:tr>
      <w:tr w14:paraId="36DBF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1290C2F8">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AUPRC</w:t>
            </w:r>
          </w:p>
        </w:tc>
        <w:tc>
          <w:tcPr>
            <w:tcW w:w="1915" w:type="dxa"/>
          </w:tcPr>
          <w:p w14:paraId="1CFFE1E9">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0.6496</w:t>
            </w:r>
          </w:p>
        </w:tc>
        <w:tc>
          <w:tcPr>
            <w:tcW w:w="1915" w:type="dxa"/>
          </w:tcPr>
          <w:p w14:paraId="0C18291F">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0.6481</w:t>
            </w:r>
          </w:p>
        </w:tc>
        <w:tc>
          <w:tcPr>
            <w:tcW w:w="1915" w:type="dxa"/>
          </w:tcPr>
          <w:p w14:paraId="23F2A80A">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0.5771</w:t>
            </w:r>
          </w:p>
        </w:tc>
        <w:tc>
          <w:tcPr>
            <w:tcW w:w="1916" w:type="dxa"/>
          </w:tcPr>
          <w:p w14:paraId="540E7F01">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0.5269</w:t>
            </w:r>
          </w:p>
        </w:tc>
      </w:tr>
      <w:tr w14:paraId="50A8B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34370A11">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Brier</w:t>
            </w:r>
          </w:p>
        </w:tc>
        <w:tc>
          <w:tcPr>
            <w:tcW w:w="1915" w:type="dxa"/>
          </w:tcPr>
          <w:p w14:paraId="565BCE03">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0.1155</w:t>
            </w:r>
          </w:p>
        </w:tc>
        <w:tc>
          <w:tcPr>
            <w:tcW w:w="1915" w:type="dxa"/>
          </w:tcPr>
          <w:p w14:paraId="7973771D">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0.1153</w:t>
            </w:r>
          </w:p>
        </w:tc>
        <w:tc>
          <w:tcPr>
            <w:tcW w:w="1915" w:type="dxa"/>
          </w:tcPr>
          <w:p w14:paraId="5BFA4AE4">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0.1255</w:t>
            </w:r>
          </w:p>
        </w:tc>
        <w:tc>
          <w:tcPr>
            <w:tcW w:w="1916" w:type="dxa"/>
          </w:tcPr>
          <w:p w14:paraId="76BD9F12">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0.1335</w:t>
            </w:r>
          </w:p>
        </w:tc>
      </w:tr>
      <w:tr w14:paraId="32EA6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08008A77">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BSS</w:t>
            </w:r>
          </w:p>
        </w:tc>
        <w:tc>
          <w:tcPr>
            <w:tcW w:w="1915" w:type="dxa"/>
          </w:tcPr>
          <w:p w14:paraId="38AB389B">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0.3131</w:t>
            </w:r>
          </w:p>
        </w:tc>
        <w:tc>
          <w:tcPr>
            <w:tcW w:w="1915" w:type="dxa"/>
          </w:tcPr>
          <w:p w14:paraId="0EA1D1E8">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0.3142</w:t>
            </w:r>
          </w:p>
        </w:tc>
        <w:tc>
          <w:tcPr>
            <w:tcW w:w="1915" w:type="dxa"/>
          </w:tcPr>
          <w:p w14:paraId="7C4657CE">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0.2537</w:t>
            </w:r>
          </w:p>
        </w:tc>
        <w:tc>
          <w:tcPr>
            <w:tcW w:w="1916" w:type="dxa"/>
          </w:tcPr>
          <w:p w14:paraId="1B78FAC9">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0.2061</w:t>
            </w:r>
          </w:p>
        </w:tc>
      </w:tr>
      <w:tr w14:paraId="3BAAA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64E054D9">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ECE</w:t>
            </w:r>
          </w:p>
        </w:tc>
        <w:tc>
          <w:tcPr>
            <w:tcW w:w="1915" w:type="dxa"/>
          </w:tcPr>
          <w:p w14:paraId="721E882B">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0.0120</w:t>
            </w:r>
          </w:p>
        </w:tc>
        <w:tc>
          <w:tcPr>
            <w:tcW w:w="1915" w:type="dxa"/>
          </w:tcPr>
          <w:p w14:paraId="46B5BD87">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0.0122</w:t>
            </w:r>
          </w:p>
        </w:tc>
        <w:tc>
          <w:tcPr>
            <w:tcW w:w="1915" w:type="dxa"/>
          </w:tcPr>
          <w:p w14:paraId="502AC5CA">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0.0076</w:t>
            </w:r>
          </w:p>
        </w:tc>
        <w:tc>
          <w:tcPr>
            <w:tcW w:w="1916" w:type="dxa"/>
          </w:tcPr>
          <w:p w14:paraId="6040A481">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0.0135</w:t>
            </w:r>
          </w:p>
        </w:tc>
      </w:tr>
      <w:tr w14:paraId="65876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5E02F02E">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Recall@0.2</w:t>
            </w:r>
          </w:p>
        </w:tc>
        <w:tc>
          <w:tcPr>
            <w:tcW w:w="1915" w:type="dxa"/>
          </w:tcPr>
          <w:p w14:paraId="5AF28F0A">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0.7970</w:t>
            </w:r>
          </w:p>
        </w:tc>
        <w:tc>
          <w:tcPr>
            <w:tcW w:w="1915" w:type="dxa"/>
          </w:tcPr>
          <w:p w14:paraId="559AED42">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0.7822</w:t>
            </w:r>
          </w:p>
        </w:tc>
        <w:tc>
          <w:tcPr>
            <w:tcW w:w="1915" w:type="dxa"/>
          </w:tcPr>
          <w:p w14:paraId="5AD9BDE4">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0.7376</w:t>
            </w:r>
          </w:p>
        </w:tc>
        <w:tc>
          <w:tcPr>
            <w:tcW w:w="1916" w:type="dxa"/>
          </w:tcPr>
          <w:p w14:paraId="73328213">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0.7411</w:t>
            </w:r>
          </w:p>
        </w:tc>
      </w:tr>
      <w:tr w14:paraId="4FD4E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06A34841">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Prec@0.2</w:t>
            </w:r>
          </w:p>
        </w:tc>
        <w:tc>
          <w:tcPr>
            <w:tcW w:w="1915" w:type="dxa"/>
          </w:tcPr>
          <w:p w14:paraId="65153805">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0.4330</w:t>
            </w:r>
          </w:p>
        </w:tc>
        <w:tc>
          <w:tcPr>
            <w:tcW w:w="1915" w:type="dxa"/>
          </w:tcPr>
          <w:p w14:paraId="198E31EA">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0.4447</w:t>
            </w:r>
          </w:p>
        </w:tc>
        <w:tc>
          <w:tcPr>
            <w:tcW w:w="1915" w:type="dxa"/>
          </w:tcPr>
          <w:p w14:paraId="40604268">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0.4264</w:t>
            </w:r>
          </w:p>
        </w:tc>
        <w:tc>
          <w:tcPr>
            <w:tcW w:w="1916" w:type="dxa"/>
          </w:tcPr>
          <w:p w14:paraId="73C6E60A">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0.3962</w:t>
            </w:r>
          </w:p>
        </w:tc>
      </w:tr>
      <w:tr w14:paraId="1A7E7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3051ED21">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F1@0.2</w:t>
            </w:r>
          </w:p>
        </w:tc>
        <w:tc>
          <w:tcPr>
            <w:tcW w:w="1915" w:type="dxa"/>
          </w:tcPr>
          <w:p w14:paraId="053D648E">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0.5612</w:t>
            </w:r>
          </w:p>
        </w:tc>
        <w:tc>
          <w:tcPr>
            <w:tcW w:w="1915" w:type="dxa"/>
          </w:tcPr>
          <w:p w14:paraId="1C4C7F18">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0.5671</w:t>
            </w:r>
          </w:p>
        </w:tc>
        <w:tc>
          <w:tcPr>
            <w:tcW w:w="1915" w:type="dxa"/>
          </w:tcPr>
          <w:p w14:paraId="171946AD">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0.5404</w:t>
            </w:r>
          </w:p>
        </w:tc>
        <w:tc>
          <w:tcPr>
            <w:tcW w:w="1916" w:type="dxa"/>
          </w:tcPr>
          <w:p w14:paraId="45E75805">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0.5163</w:t>
            </w:r>
          </w:p>
        </w:tc>
      </w:tr>
      <w:tr w14:paraId="5A45A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15B5AFFB">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Recall@0.5</w:t>
            </w:r>
          </w:p>
        </w:tc>
        <w:tc>
          <w:tcPr>
            <w:tcW w:w="1915" w:type="dxa"/>
          </w:tcPr>
          <w:p w14:paraId="0C106BAC">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0.4098</w:t>
            </w:r>
          </w:p>
        </w:tc>
        <w:tc>
          <w:tcPr>
            <w:tcW w:w="1915" w:type="dxa"/>
          </w:tcPr>
          <w:p w14:paraId="46693C04">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0.4139</w:t>
            </w:r>
          </w:p>
        </w:tc>
        <w:tc>
          <w:tcPr>
            <w:tcW w:w="1915" w:type="dxa"/>
          </w:tcPr>
          <w:p w14:paraId="1CFE042E">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0.3255</w:t>
            </w:r>
          </w:p>
        </w:tc>
        <w:tc>
          <w:tcPr>
            <w:tcW w:w="1916" w:type="dxa"/>
          </w:tcPr>
          <w:p w14:paraId="08782CF0">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0.2763</w:t>
            </w:r>
          </w:p>
        </w:tc>
      </w:tr>
      <w:tr w14:paraId="4FD49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07B81676">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Prec@0.5</w:t>
            </w:r>
          </w:p>
        </w:tc>
        <w:tc>
          <w:tcPr>
            <w:tcW w:w="1915" w:type="dxa"/>
          </w:tcPr>
          <w:p w14:paraId="6A065C86">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0.7222</w:t>
            </w:r>
          </w:p>
        </w:tc>
        <w:tc>
          <w:tcPr>
            <w:tcW w:w="1915" w:type="dxa"/>
          </w:tcPr>
          <w:p w14:paraId="737AAB78">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0.7082</w:t>
            </w:r>
          </w:p>
        </w:tc>
        <w:tc>
          <w:tcPr>
            <w:tcW w:w="1915" w:type="dxa"/>
          </w:tcPr>
          <w:p w14:paraId="3898233C">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0.7032</w:t>
            </w:r>
          </w:p>
        </w:tc>
        <w:tc>
          <w:tcPr>
            <w:tcW w:w="1916" w:type="dxa"/>
          </w:tcPr>
          <w:p w14:paraId="7DCF0E10">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0.6523</w:t>
            </w:r>
          </w:p>
        </w:tc>
      </w:tr>
      <w:tr w14:paraId="61B3D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61A3CD94">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F1@0.5</w:t>
            </w:r>
          </w:p>
        </w:tc>
        <w:tc>
          <w:tcPr>
            <w:tcW w:w="1915" w:type="dxa"/>
          </w:tcPr>
          <w:p w14:paraId="41CF4166">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0.5229</w:t>
            </w:r>
          </w:p>
        </w:tc>
        <w:tc>
          <w:tcPr>
            <w:tcW w:w="1915" w:type="dxa"/>
          </w:tcPr>
          <w:p w14:paraId="4E601D45">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0.5225</w:t>
            </w:r>
          </w:p>
        </w:tc>
        <w:tc>
          <w:tcPr>
            <w:tcW w:w="1915" w:type="dxa"/>
          </w:tcPr>
          <w:p w14:paraId="061219EE">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0.4450</w:t>
            </w:r>
          </w:p>
        </w:tc>
        <w:tc>
          <w:tcPr>
            <w:tcW w:w="1916" w:type="dxa"/>
          </w:tcPr>
          <w:p w14:paraId="72A4A959">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0.3882</w:t>
            </w:r>
          </w:p>
        </w:tc>
      </w:tr>
    </w:tbl>
    <w:p w14:paraId="64BC07A4">
      <w:pPr>
        <w:spacing w:before="240" w:after="240" w:line="240" w:lineRule="auto"/>
        <w:rPr>
          <w:rFonts w:hint="default" w:ascii="Times New Roman" w:hAnsi="Times New Roman" w:eastAsia="Times New Roman" w:cs="Times New Roman"/>
          <w:i/>
          <w:iCs/>
          <w:sz w:val="24"/>
          <w:szCs w:val="24"/>
          <w:highlight w:val="white"/>
        </w:rPr>
      </w:pPr>
      <w:r>
        <w:rPr>
          <w:rFonts w:hint="default" w:ascii="Times New Roman" w:hAnsi="Times New Roman" w:eastAsia="Times New Roman" w:cs="Times New Roman"/>
          <w:b/>
          <w:bCs/>
          <w:i/>
          <w:iCs/>
          <w:sz w:val="24"/>
          <w:szCs w:val="24"/>
          <w:highlight w:val="white"/>
        </w:rPr>
        <w:t>Table 2.</w:t>
      </w:r>
      <w:r>
        <w:rPr>
          <w:rFonts w:hint="default" w:ascii="Times New Roman" w:hAnsi="Times New Roman" w:eastAsia="Times New Roman" w:cs="Times New Roman"/>
          <w:i/>
          <w:iCs/>
          <w:sz w:val="24"/>
          <w:szCs w:val="24"/>
          <w:highlight w:val="white"/>
        </w:rPr>
        <w:t xml:space="preserve"> Model performance and calibration on the hold-out test set (&gt;2020). Metrics are computed on isotonic-calibrated probabilities. @0.2 and @0.5 denote the classification threshold applied to the calibrated probability: 0.2 is the clinical actionability threshold (primary operating point); 0.5 is the conventional reference threshold.</w:t>
      </w:r>
    </w:p>
    <w:p w14:paraId="01ACC094">
      <w:pPr>
        <w:spacing w:before="240" w:after="240" w:line="240" w:lineRule="auto"/>
        <w:rPr>
          <w:rFonts w:hint="default" w:ascii="Times New Roman" w:hAnsi="Times New Roman" w:eastAsia="Times New Roman" w:cs="Times New Roman"/>
          <w:i/>
          <w:iCs/>
          <w:sz w:val="24"/>
          <w:szCs w:val="24"/>
          <w:highlight w:val="white"/>
        </w:rPr>
      </w:pPr>
      <w:r>
        <w:rPr>
          <w:rFonts w:hint="default" w:ascii="Times New Roman" w:hAnsi="Times New Roman" w:eastAsia="SimSun" w:cs="Times New Roman"/>
          <w:sz w:val="24"/>
          <w:szCs w:val="24"/>
        </w:rPr>
        <w:t>Four-fold rolling-origin temporal cross-validation yielded a mean AUC of 0.870 ± 0.016, mean AUPRC of 0.681 ± 0.006, and mean F1@0.2 of 0.585 ± 0.006. The cross-validation AUC is slightly higher than the estimate obtained from the independent hold-out (0.870 vs 0.849). At the 0.20 threshold, the confusion matrix (Figure 2a) recorded 1,390,502 true negatives, 551,277 false positives, 107,253 false negatives, and 421,053 true positives. The ROC curve is shown in Figure 2b (AUC = 0.849) and the precision–recall curve in Figure 2c (AUPRC = 0.650; baseline = 0.214).</w:t>
      </w:r>
    </w:p>
    <w:p w14:paraId="67DEA0B5">
      <w:pPr>
        <w:spacing w:before="240" w:after="240" w:line="240" w:lineRule="auto"/>
        <w:rPr>
          <w:rFonts w:hint="default" w:ascii="Times New Roman" w:hAnsi="Times New Roman" w:eastAsia="Times New Roman" w:cs="Times New Roman"/>
          <w:sz w:val="24"/>
          <w:szCs w:val="24"/>
          <w:highlight w:val="white"/>
        </w:rPr>
      </w:pPr>
      <w:r>
        <w:rPr>
          <w:rFonts w:hint="default" w:ascii="Times New Roman" w:hAnsi="Times New Roman" w:eastAsia="Times New Roman" w:cs="Times New Roman"/>
          <w:sz w:val="24"/>
          <w:szCs w:val="24"/>
          <w:highlight w:val="white"/>
          <w:lang w:val="ru-RU"/>
        </w:rPr>
        <w:drawing>
          <wp:inline distT="114300" distB="114300" distL="114300" distR="114300">
            <wp:extent cx="5943600" cy="4749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7"/>
                    <a:srcRect/>
                    <a:stretch>
                      <a:fillRect/>
                    </a:stretch>
                  </pic:blipFill>
                  <pic:spPr>
                    <a:xfrm>
                      <a:off x="0" y="0"/>
                      <a:ext cx="5943600" cy="4749800"/>
                    </a:xfrm>
                    <a:prstGeom prst="rect">
                      <a:avLst/>
                    </a:prstGeom>
                  </pic:spPr>
                </pic:pic>
              </a:graphicData>
            </a:graphic>
          </wp:inline>
        </w:drawing>
      </w:r>
    </w:p>
    <w:p w14:paraId="5460F162">
      <w:pPr>
        <w:pStyle w:val="13"/>
        <w:rPr>
          <w:rFonts w:hint="default" w:ascii="Times New Roman" w:hAnsi="Times New Roman" w:eastAsia="SimSun" w:cs="Times New Roman"/>
          <w:sz w:val="24"/>
          <w:szCs w:val="24"/>
          <w:lang w:val="en-US"/>
        </w:rPr>
      </w:pPr>
      <w:r>
        <w:rPr>
          <w:rStyle w:val="14"/>
          <w:rFonts w:hint="default" w:ascii="Times New Roman" w:hAnsi="Times New Roman" w:eastAsia="SimSun" w:cs="Times New Roman"/>
          <w:sz w:val="24"/>
          <w:szCs w:val="24"/>
          <w:lang w:val="en-US"/>
        </w:rPr>
        <w:t>Figure 2.</w:t>
      </w:r>
      <w:r>
        <w:rPr>
          <w:rFonts w:hint="default" w:ascii="Times New Roman" w:hAnsi="Times New Roman" w:eastAsia="SimSun" w:cs="Times New Roman"/>
          <w:sz w:val="24"/>
          <w:szCs w:val="24"/>
          <w:lang w:val="en-US"/>
        </w:rPr>
        <w:t xml:space="preserve"> Global hold-out evaluation of the CatBoost classifier (test isolates from 2021 onward). (a) Confusion matrix at the clinical actionability threshold. (b) ROC curve. (c) Precision–recall curve with prevalence baseline. (d) SHAP beeswarm ordered by mean absolute SHAP value; colour denotes feature value (blue = low, red = high). Metrics computed on isotonic-calibrated probabilities.</w:t>
      </w:r>
    </w:p>
    <w:p w14:paraId="2F7DF249">
      <w:pPr>
        <w:pStyle w:val="13"/>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 xml:space="preserve">3.3 </w:t>
      </w:r>
      <w:r>
        <w:rPr>
          <w:rStyle w:val="26"/>
          <w:rFonts w:hint="default" w:ascii="Times New Roman" w:hAnsi="Times New Roman" w:cs="Times New Roman"/>
          <w:b/>
          <w:bCs/>
          <w:sz w:val="24"/>
          <w:szCs w:val="24"/>
          <w:lang w:val="en-US"/>
        </w:rPr>
        <w:t>Feature Analysis</w:t>
      </w:r>
      <w:r>
        <w:rPr>
          <w:rFonts w:hint="default" w:ascii="Times New Roman" w:hAnsi="Times New Roman" w:cs="Times New Roman"/>
          <w:sz w:val="24"/>
          <w:szCs w:val="24"/>
          <w:lang w:val="en-US"/>
        </w:rPr>
        <w:br w:type="textWrapping"/>
      </w:r>
      <w:r>
        <w:rPr>
          <w:rStyle w:val="26"/>
          <w:rFonts w:hint="default" w:ascii="Times New Roman" w:hAnsi="Times New Roman" w:cs="Times New Roman"/>
          <w:sz w:val="24"/>
          <w:szCs w:val="24"/>
          <w:lang w:val="en-US"/>
        </w:rPr>
        <w:t>Organism (35.9%) and antibiotic (27.3%) were the most important features, with the three categorical features (organism, antibiotic, and antibiotic class, 11.8%) contributing 75.0% of total predictive importance.</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The most important numeric measures are year (4.5%), sanitation access (4.4%), log GDP per capita (3.1%), and per-class antibiotic consumption (log consumption DDD per class, 2.9%).</w:t>
      </w:r>
      <w:r>
        <w:rPr>
          <w:rFonts w:hint="default" w:ascii="Times New Roman" w:hAnsi="Times New Roman" w:cs="Times New Roman"/>
          <w:sz w:val="24"/>
          <w:szCs w:val="24"/>
          <w:lang w:val="en-US"/>
        </w:rPr>
        <w:t xml:space="preserve"> None of the macroeconomic features were individually sufficient for the test AUC, as removing any single one changed the score by no more than 0.0043. The discriminative signal instead came from the categorical features: removing all three (organism, antibiotic, and antibiotic class) and retaining only the numerical features reduced the AUC from 0.848 to 0.618. </w:t>
      </w:r>
      <w:r>
        <w:rPr>
          <w:rStyle w:val="26"/>
          <w:rFonts w:hint="default" w:ascii="Times New Roman" w:hAnsi="Times New Roman" w:cs="Times New Roman"/>
          <w:sz w:val="24"/>
          <w:szCs w:val="24"/>
          <w:lang w:val="en-US"/>
        </w:rPr>
        <w:t>As seen from the SHAP analysis in Figure 2d, on the one hand log consumption DDD was concentrated around zero and had a small positive trend, and on the other hand, higher values of log GDP per capita and health expenditure were correlated with negative SHAP values.</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The difference between the two rankings of the temporal features, year, results from the difference between the two methods described in Section 2.5.5.</w:t>
      </w:r>
    </w:p>
    <w:p w14:paraId="7FAD3301">
      <w:pPr>
        <w:pStyle w:val="13"/>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 xml:space="preserve">3.4 </w:t>
      </w:r>
      <w:r>
        <w:rPr>
          <w:rStyle w:val="26"/>
          <w:rFonts w:hint="default" w:ascii="Times New Roman" w:hAnsi="Times New Roman" w:cs="Times New Roman"/>
          <w:b/>
          <w:bCs/>
          <w:sz w:val="24"/>
          <w:szCs w:val="24"/>
          <w:lang w:val="en-US"/>
        </w:rPr>
        <w:t>Validation Results</w:t>
      </w:r>
      <w:r>
        <w:rPr>
          <w:rFonts w:hint="default" w:ascii="Times New Roman" w:hAnsi="Times New Roman" w:cs="Times New Roman"/>
          <w:sz w:val="24"/>
          <w:szCs w:val="24"/>
          <w:lang w:val="en-US"/>
        </w:rPr>
        <w:br w:type="textWrapping"/>
      </w:r>
      <w:r>
        <w:rPr>
          <w:rStyle w:val="26"/>
          <w:rFonts w:hint="default" w:ascii="Times New Roman" w:hAnsi="Times New Roman" w:cs="Times New Roman"/>
          <w:sz w:val="24"/>
          <w:szCs w:val="24"/>
          <w:lang w:val="en-US"/>
        </w:rPr>
        <w:t>The results of cluster-based and LOCO validations are included in Table 3.</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Although the post-Soviet model uses only 2.5% of the training data, it achieved the highest AUC (0.8979) with only a marginal difference in its Brier score after isotonic calibration (0.1389 to 0.1186).</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The global LOCO model (all countries except Kazakhstan) achieved an AUC of 0.8812 and an AUPRC of 0.7050.</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For country hold-out testing (Table 4), the calibrated Brier score ranged from lowest in France (0.0808) to highest in India (0.2135), suggesting that the transferability of calibration remained variable across countries.</w:t>
      </w:r>
      <w:r>
        <w:rPr>
          <w:rFonts w:hint="default" w:ascii="Times New Roman" w:hAnsi="Times New Roman" w:cs="Times New Roman"/>
          <w:sz w:val="24"/>
          <w:szCs w:val="24"/>
          <w:lang w:val="en-US"/>
        </w:rPr>
        <w:br w:type="textWrapping"/>
      </w:r>
      <w:r>
        <w:rPr>
          <w:rStyle w:val="26"/>
          <w:rFonts w:hint="default" w:ascii="Times New Roman" w:hAnsi="Times New Roman" w:cs="Times New Roman"/>
          <w:sz w:val="24"/>
          <w:szCs w:val="24"/>
          <w:lang w:val="en-US"/>
        </w:rPr>
        <w:t>With the global LOCO model used as the main model, the overall mean calibrated resistance probability across the 480 inferences for Kazakhstan was 0.338, with 66.9% above the 20% clinical actionability threshold.</w:t>
      </w:r>
      <w:r>
        <w:rPr>
          <w:rFonts w:hint="default" w:ascii="Times New Roman" w:hAnsi="Times New Roman" w:cs="Times New Roman"/>
          <w:sz w:val="24"/>
          <w:szCs w:val="24"/>
          <w:lang w:val="en-US"/>
        </w:rPr>
        <w:t> </w:t>
      </w:r>
      <w:r>
        <w:rPr>
          <w:rStyle w:val="11"/>
          <w:rFonts w:hint="default" w:ascii="Times New Roman" w:hAnsi="Times New Roman" w:cs="Times New Roman"/>
          <w:sz w:val="24"/>
          <w:szCs w:val="24"/>
          <w:lang w:val="en-US"/>
        </w:rPr>
        <w:t>Acinetobacter baumannii</w:t>
      </w:r>
      <w:r>
        <w:rPr>
          <w:rStyle w:val="26"/>
          <w:rFonts w:hint="default" w:ascii="Times New Roman" w:hAnsi="Times New Roman" w:cs="Times New Roman"/>
          <w:sz w:val="24"/>
          <w:szCs w:val="24"/>
          <w:lang w:val="en-US"/>
        </w:rPr>
        <w:t> (mean resistance prediction 0.55) was the most resistant, followed by </w:t>
      </w:r>
      <w:r>
        <w:rPr>
          <w:rStyle w:val="11"/>
          <w:rFonts w:hint="default" w:ascii="Times New Roman" w:hAnsi="Times New Roman" w:cs="Times New Roman"/>
          <w:sz w:val="24"/>
          <w:szCs w:val="24"/>
          <w:lang w:val="en-US"/>
        </w:rPr>
        <w:t>Klebsiella pneumoniae</w:t>
      </w:r>
      <w:r>
        <w:rPr>
          <w:rStyle w:val="26"/>
          <w:rFonts w:hint="default" w:ascii="Times New Roman" w:hAnsi="Times New Roman" w:cs="Times New Roman"/>
          <w:sz w:val="24"/>
          <w:szCs w:val="24"/>
          <w:lang w:val="en-US"/>
        </w:rPr>
        <w:t> and </w:t>
      </w:r>
      <w:r>
        <w:rPr>
          <w:rStyle w:val="11"/>
          <w:rFonts w:hint="default" w:ascii="Times New Roman" w:hAnsi="Times New Roman" w:cs="Times New Roman"/>
          <w:sz w:val="24"/>
          <w:szCs w:val="24"/>
          <w:lang w:val="en-US"/>
        </w:rPr>
        <w:t>Enterococcus faecium</w:t>
      </w:r>
      <w:r>
        <w:rPr>
          <w:rStyle w:val="26"/>
          <w:rFonts w:hint="default" w:ascii="Times New Roman" w:hAnsi="Times New Roman" w:cs="Times New Roman"/>
          <w:sz w:val="24"/>
          <w:szCs w:val="24"/>
          <w:lang w:val="en-US"/>
        </w:rPr>
        <w:t> (~0.43 mean resistance prediction).</w:t>
      </w:r>
    </w:p>
    <w:tbl>
      <w:tblPr>
        <w:tblStyle w:val="16"/>
        <w:tblW w:w="98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1"/>
        <w:gridCol w:w="782"/>
        <w:gridCol w:w="1114"/>
        <w:gridCol w:w="911"/>
        <w:gridCol w:w="954"/>
        <w:gridCol w:w="949"/>
        <w:gridCol w:w="969"/>
        <w:gridCol w:w="909"/>
        <w:gridCol w:w="1160"/>
        <w:gridCol w:w="1123"/>
      </w:tblGrid>
      <w:tr w14:paraId="755F6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1" w:type="dxa"/>
          </w:tcPr>
          <w:p w14:paraId="7B8A7152">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Group</w:t>
            </w:r>
          </w:p>
        </w:tc>
        <w:tc>
          <w:tcPr>
            <w:tcW w:w="782" w:type="dxa"/>
          </w:tcPr>
          <w:p w14:paraId="25B94C12">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n_countries</w:t>
            </w:r>
          </w:p>
        </w:tc>
        <w:tc>
          <w:tcPr>
            <w:tcW w:w="1114" w:type="dxa"/>
          </w:tcPr>
          <w:p w14:paraId="746E64E2">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n_train</w:t>
            </w:r>
          </w:p>
        </w:tc>
        <w:tc>
          <w:tcPr>
            <w:tcW w:w="911" w:type="dxa"/>
          </w:tcPr>
          <w:p w14:paraId="417E8307">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n_val</w:t>
            </w:r>
          </w:p>
        </w:tc>
        <w:tc>
          <w:tcPr>
            <w:tcW w:w="954" w:type="dxa"/>
          </w:tcPr>
          <w:p w14:paraId="6E7ACCE4">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val_AUC</w:t>
            </w:r>
          </w:p>
        </w:tc>
        <w:tc>
          <w:tcPr>
            <w:tcW w:w="949" w:type="dxa"/>
          </w:tcPr>
          <w:p w14:paraId="13073AB3">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val_AUPRC</w:t>
            </w:r>
          </w:p>
        </w:tc>
        <w:tc>
          <w:tcPr>
            <w:tcW w:w="969" w:type="dxa"/>
          </w:tcPr>
          <w:p w14:paraId="607EFF34">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Brier_raw</w:t>
            </w:r>
          </w:p>
        </w:tc>
        <w:tc>
          <w:tcPr>
            <w:tcW w:w="909" w:type="dxa"/>
          </w:tcPr>
          <w:p w14:paraId="5D58908C">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Brier_cal</w:t>
            </w:r>
          </w:p>
        </w:tc>
        <w:tc>
          <w:tcPr>
            <w:tcW w:w="1160" w:type="dxa"/>
          </w:tcPr>
          <w:p w14:paraId="72C790FD">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kz_mean_cal</w:t>
            </w:r>
          </w:p>
        </w:tc>
        <w:tc>
          <w:tcPr>
            <w:tcW w:w="1123" w:type="dxa"/>
          </w:tcPr>
          <w:p w14:paraId="77D06340">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kz_% &gt;= 0.2</w:t>
            </w:r>
          </w:p>
        </w:tc>
      </w:tr>
      <w:tr w14:paraId="4B302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1" w:type="dxa"/>
          </w:tcPr>
          <w:p w14:paraId="1B389FE9">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post soviet</w:t>
            </w:r>
          </w:p>
        </w:tc>
        <w:tc>
          <w:tcPr>
            <w:tcW w:w="782" w:type="dxa"/>
          </w:tcPr>
          <w:p w14:paraId="13FE9442">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6</w:t>
            </w:r>
          </w:p>
        </w:tc>
        <w:tc>
          <w:tcPr>
            <w:tcW w:w="1114" w:type="dxa"/>
          </w:tcPr>
          <w:p w14:paraId="5BE4CEAD">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179,237</w:t>
            </w:r>
          </w:p>
        </w:tc>
        <w:tc>
          <w:tcPr>
            <w:tcW w:w="911" w:type="dxa"/>
          </w:tcPr>
          <w:p w14:paraId="1A45240E">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60,583</w:t>
            </w:r>
          </w:p>
        </w:tc>
        <w:tc>
          <w:tcPr>
            <w:tcW w:w="954" w:type="dxa"/>
          </w:tcPr>
          <w:p w14:paraId="5C65DD60">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0.8979</w:t>
            </w:r>
          </w:p>
        </w:tc>
        <w:tc>
          <w:tcPr>
            <w:tcW w:w="949" w:type="dxa"/>
          </w:tcPr>
          <w:p w14:paraId="18D5A8FD">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0.8073</w:t>
            </w:r>
          </w:p>
        </w:tc>
        <w:tc>
          <w:tcPr>
            <w:tcW w:w="969" w:type="dxa"/>
          </w:tcPr>
          <w:p w14:paraId="17839A4C">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0.1389</w:t>
            </w:r>
          </w:p>
        </w:tc>
        <w:tc>
          <w:tcPr>
            <w:tcW w:w="909" w:type="dxa"/>
          </w:tcPr>
          <w:p w14:paraId="3BB962A6">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0.1186</w:t>
            </w:r>
          </w:p>
        </w:tc>
        <w:tc>
          <w:tcPr>
            <w:tcW w:w="1160" w:type="dxa"/>
          </w:tcPr>
          <w:p w14:paraId="47D27C77">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0.3996</w:t>
            </w:r>
          </w:p>
        </w:tc>
        <w:tc>
          <w:tcPr>
            <w:tcW w:w="1123" w:type="dxa"/>
          </w:tcPr>
          <w:p w14:paraId="62B2352C">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72.5</w:t>
            </w:r>
          </w:p>
        </w:tc>
      </w:tr>
      <w:tr w14:paraId="6B6A5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1" w:type="dxa"/>
          </w:tcPr>
          <w:p w14:paraId="1E547FE7">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LOCO (KZ)</w:t>
            </w:r>
          </w:p>
        </w:tc>
        <w:tc>
          <w:tcPr>
            <w:tcW w:w="782" w:type="dxa"/>
          </w:tcPr>
          <w:p w14:paraId="42712787">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85</w:t>
            </w:r>
          </w:p>
        </w:tc>
        <w:tc>
          <w:tcPr>
            <w:tcW w:w="1114" w:type="dxa"/>
          </w:tcPr>
          <w:p w14:paraId="2A0B2451">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7,203,908</w:t>
            </w:r>
          </w:p>
        </w:tc>
        <w:tc>
          <w:tcPr>
            <w:tcW w:w="911" w:type="dxa"/>
          </w:tcPr>
          <w:p w14:paraId="22E86246">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1,601,179</w:t>
            </w:r>
          </w:p>
        </w:tc>
        <w:tc>
          <w:tcPr>
            <w:tcW w:w="954" w:type="dxa"/>
          </w:tcPr>
          <w:p w14:paraId="379D986F">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0.8812</w:t>
            </w:r>
          </w:p>
        </w:tc>
        <w:tc>
          <w:tcPr>
            <w:tcW w:w="949" w:type="dxa"/>
          </w:tcPr>
          <w:p w14:paraId="4313DEF1">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0.7050</w:t>
            </w:r>
          </w:p>
        </w:tc>
        <w:tc>
          <w:tcPr>
            <w:tcW w:w="969" w:type="dxa"/>
          </w:tcPr>
          <w:p w14:paraId="2239A5F5">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0.1550</w:t>
            </w:r>
          </w:p>
        </w:tc>
        <w:tc>
          <w:tcPr>
            <w:tcW w:w="909" w:type="dxa"/>
          </w:tcPr>
          <w:p w14:paraId="707AD3E1">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0.1059</w:t>
            </w:r>
          </w:p>
        </w:tc>
        <w:tc>
          <w:tcPr>
            <w:tcW w:w="1160" w:type="dxa"/>
          </w:tcPr>
          <w:p w14:paraId="6280E179">
            <w:pPr>
              <w:widowControl w:val="0"/>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0.3380</w:t>
            </w:r>
          </w:p>
        </w:tc>
        <w:tc>
          <w:tcPr>
            <w:tcW w:w="1123" w:type="dxa"/>
          </w:tcPr>
          <w:p w14:paraId="503FDFC8">
            <w:pPr>
              <w:widowControl w:val="0"/>
              <w:spacing w:before="240" w:after="240" w:line="240" w:lineRule="auto"/>
              <w:jc w:val="both"/>
              <w:rPr>
                <w:rFonts w:hint="default" w:ascii="Times New Roman" w:hAnsi="Times New Roman" w:cs="Times New Roman"/>
                <w:sz w:val="24"/>
                <w:szCs w:val="24"/>
                <w:lang w:val="ru-RU"/>
              </w:rPr>
            </w:pPr>
            <w:r>
              <w:rPr>
                <w:rFonts w:hint="default" w:ascii="Times New Roman" w:hAnsi="Times New Roman" w:eastAsia="Times New Roman" w:cs="Times New Roman"/>
                <w:sz w:val="24"/>
                <w:szCs w:val="24"/>
                <w:highlight w:val="white"/>
              </w:rPr>
              <w:t>6</w:t>
            </w:r>
            <w:r>
              <w:rPr>
                <w:rFonts w:hint="default" w:ascii="Times New Roman" w:hAnsi="Times New Roman" w:eastAsia="Times New Roman" w:cs="Times New Roman"/>
                <w:sz w:val="24"/>
                <w:szCs w:val="24"/>
                <w:highlight w:val="white"/>
                <w:lang w:val="ru-RU"/>
              </w:rPr>
              <w:t>6</w:t>
            </w:r>
            <w:r>
              <w:rPr>
                <w:rFonts w:hint="default" w:ascii="Times New Roman" w:hAnsi="Times New Roman" w:eastAsia="Times New Roman" w:cs="Times New Roman"/>
                <w:sz w:val="24"/>
                <w:szCs w:val="24"/>
                <w:highlight w:val="white"/>
              </w:rPr>
              <w:t>.</w:t>
            </w:r>
            <w:r>
              <w:rPr>
                <w:rFonts w:hint="default" w:ascii="Times New Roman" w:hAnsi="Times New Roman" w:eastAsia="Times New Roman" w:cs="Times New Roman"/>
                <w:sz w:val="24"/>
                <w:szCs w:val="24"/>
                <w:highlight w:val="white"/>
                <w:lang w:val="ru-RU"/>
              </w:rPr>
              <w:t>9</w:t>
            </w:r>
          </w:p>
        </w:tc>
      </w:tr>
    </w:tbl>
    <w:p w14:paraId="4221123E">
      <w:pPr>
        <w:spacing w:before="240" w:after="240" w:line="240" w:lineRule="auto"/>
        <w:rPr>
          <w:rFonts w:hint="default" w:ascii="Times New Roman" w:hAnsi="Times New Roman" w:eastAsia="Times New Roman" w:cs="Times New Roman"/>
          <w:i/>
          <w:iCs/>
          <w:sz w:val="24"/>
          <w:szCs w:val="24"/>
          <w:highlight w:val="white"/>
        </w:rPr>
      </w:pPr>
      <w:r>
        <w:rPr>
          <w:rFonts w:hint="default" w:ascii="Times New Roman" w:hAnsi="Times New Roman" w:eastAsia="Times New Roman" w:cs="Times New Roman"/>
          <w:i/>
          <w:iCs/>
          <w:sz w:val="24"/>
          <w:szCs w:val="24"/>
          <w:highlight w:val="white"/>
        </w:rPr>
        <w:t xml:space="preserve">Table </w:t>
      </w:r>
      <w:r>
        <w:rPr>
          <w:rFonts w:hint="default" w:ascii="Times New Roman" w:hAnsi="Times New Roman" w:eastAsia="Times New Roman" w:cs="Times New Roman"/>
          <w:i/>
          <w:iCs/>
          <w:sz w:val="24"/>
          <w:szCs w:val="24"/>
          <w:highlight w:val="white"/>
          <w:lang w:val="en-US"/>
        </w:rPr>
        <w:t>3</w:t>
      </w:r>
      <w:r>
        <w:rPr>
          <w:rFonts w:hint="default" w:ascii="Times New Roman" w:hAnsi="Times New Roman" w:eastAsia="Times New Roman" w:cs="Times New Roman"/>
          <w:i/>
          <w:iCs/>
          <w:sz w:val="24"/>
          <w:szCs w:val="24"/>
          <w:highlight w:val="white"/>
        </w:rPr>
        <w:t xml:space="preserve">: Performance of post-Soviet and global LOCO model including Kazakhstan inference statistics. </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0"/>
        <w:gridCol w:w="1072"/>
        <w:gridCol w:w="921"/>
        <w:gridCol w:w="1168"/>
        <w:gridCol w:w="1264"/>
        <w:gridCol w:w="1147"/>
        <w:gridCol w:w="1020"/>
        <w:gridCol w:w="1143"/>
        <w:gridCol w:w="921"/>
      </w:tblGrid>
      <w:tr w14:paraId="3BC6F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 w:type="dxa"/>
          </w:tcPr>
          <w:p w14:paraId="58DFA175">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Country</w:t>
            </w:r>
          </w:p>
        </w:tc>
        <w:tc>
          <w:tcPr>
            <w:tcW w:w="1072" w:type="dxa"/>
          </w:tcPr>
          <w:p w14:paraId="2CC58A32">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n_test</w:t>
            </w:r>
          </w:p>
        </w:tc>
        <w:tc>
          <w:tcPr>
            <w:tcW w:w="921" w:type="dxa"/>
          </w:tcPr>
          <w:p w14:paraId="0F598962">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Prevalence</w:t>
            </w:r>
          </w:p>
        </w:tc>
        <w:tc>
          <w:tcPr>
            <w:tcW w:w="1168" w:type="dxa"/>
          </w:tcPr>
          <w:p w14:paraId="51498F1A">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AUC_cal</w:t>
            </w:r>
          </w:p>
        </w:tc>
        <w:tc>
          <w:tcPr>
            <w:tcW w:w="1264" w:type="dxa"/>
          </w:tcPr>
          <w:p w14:paraId="58FF7F38">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AUPRC_cal</w:t>
            </w:r>
          </w:p>
        </w:tc>
        <w:tc>
          <w:tcPr>
            <w:tcW w:w="1147" w:type="dxa"/>
          </w:tcPr>
          <w:p w14:paraId="0B3FFD56">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Recall@0.2_cal</w:t>
            </w:r>
          </w:p>
        </w:tc>
        <w:tc>
          <w:tcPr>
            <w:tcW w:w="1020" w:type="dxa"/>
          </w:tcPr>
          <w:p w14:paraId="37CC09E6">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Prec@0.2_cal</w:t>
            </w:r>
          </w:p>
        </w:tc>
        <w:tc>
          <w:tcPr>
            <w:tcW w:w="1143" w:type="dxa"/>
          </w:tcPr>
          <w:p w14:paraId="35738888">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F1@0.2_cal</w:t>
            </w:r>
          </w:p>
        </w:tc>
        <w:tc>
          <w:tcPr>
            <w:tcW w:w="921" w:type="dxa"/>
          </w:tcPr>
          <w:p w14:paraId="48F9BBD3">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Brier_cal</w:t>
            </w:r>
          </w:p>
        </w:tc>
      </w:tr>
      <w:tr w14:paraId="6897C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 w:type="dxa"/>
          </w:tcPr>
          <w:p w14:paraId="5ACD49AC">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Russia</w:t>
            </w:r>
          </w:p>
        </w:tc>
        <w:tc>
          <w:tcPr>
            <w:tcW w:w="1072" w:type="dxa"/>
          </w:tcPr>
          <w:p w14:paraId="1114C612">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169,418</w:t>
            </w:r>
          </w:p>
        </w:tc>
        <w:tc>
          <w:tcPr>
            <w:tcW w:w="921" w:type="dxa"/>
          </w:tcPr>
          <w:p w14:paraId="19128DAB">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0.2772</w:t>
            </w:r>
          </w:p>
        </w:tc>
        <w:tc>
          <w:tcPr>
            <w:tcW w:w="1168" w:type="dxa"/>
          </w:tcPr>
          <w:p w14:paraId="130AED21">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0.8856</w:t>
            </w:r>
          </w:p>
        </w:tc>
        <w:tc>
          <w:tcPr>
            <w:tcW w:w="1264" w:type="dxa"/>
          </w:tcPr>
          <w:p w14:paraId="365772AC">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0.7418</w:t>
            </w:r>
          </w:p>
        </w:tc>
        <w:tc>
          <w:tcPr>
            <w:tcW w:w="1147" w:type="dxa"/>
          </w:tcPr>
          <w:p w14:paraId="1245954D">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0.7777</w:t>
            </w:r>
          </w:p>
        </w:tc>
        <w:tc>
          <w:tcPr>
            <w:tcW w:w="1020" w:type="dxa"/>
          </w:tcPr>
          <w:p w14:paraId="18E4C0B1">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0.6057</w:t>
            </w:r>
          </w:p>
        </w:tc>
        <w:tc>
          <w:tcPr>
            <w:tcW w:w="1143" w:type="dxa"/>
          </w:tcPr>
          <w:p w14:paraId="4F8C7084">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0.6810</w:t>
            </w:r>
          </w:p>
        </w:tc>
        <w:tc>
          <w:tcPr>
            <w:tcW w:w="921" w:type="dxa"/>
          </w:tcPr>
          <w:p w14:paraId="26B44A11">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0.1341</w:t>
            </w:r>
          </w:p>
        </w:tc>
      </w:tr>
      <w:tr w14:paraId="25A1F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 w:type="dxa"/>
          </w:tcPr>
          <w:p w14:paraId="737CDCD7">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Turkey</w:t>
            </w:r>
          </w:p>
        </w:tc>
        <w:tc>
          <w:tcPr>
            <w:tcW w:w="1072" w:type="dxa"/>
          </w:tcPr>
          <w:p w14:paraId="05ADCD9E">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182,604</w:t>
            </w:r>
          </w:p>
        </w:tc>
        <w:tc>
          <w:tcPr>
            <w:tcW w:w="921" w:type="dxa"/>
          </w:tcPr>
          <w:p w14:paraId="0E653EFF">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0.2877</w:t>
            </w:r>
          </w:p>
        </w:tc>
        <w:tc>
          <w:tcPr>
            <w:tcW w:w="1168" w:type="dxa"/>
          </w:tcPr>
          <w:p w14:paraId="5782286C">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0.8454</w:t>
            </w:r>
          </w:p>
        </w:tc>
        <w:tc>
          <w:tcPr>
            <w:tcW w:w="1264" w:type="dxa"/>
          </w:tcPr>
          <w:p w14:paraId="2E3AA432">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0.6922</w:t>
            </w:r>
          </w:p>
        </w:tc>
        <w:tc>
          <w:tcPr>
            <w:tcW w:w="1147" w:type="dxa"/>
          </w:tcPr>
          <w:p w14:paraId="72294CC5">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0.8233</w:t>
            </w:r>
          </w:p>
        </w:tc>
        <w:tc>
          <w:tcPr>
            <w:tcW w:w="1020" w:type="dxa"/>
          </w:tcPr>
          <w:p w14:paraId="3B4F27DD">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0.5188</w:t>
            </w:r>
          </w:p>
        </w:tc>
        <w:tc>
          <w:tcPr>
            <w:tcW w:w="1143" w:type="dxa"/>
          </w:tcPr>
          <w:p w14:paraId="5A6B2716">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0.6365</w:t>
            </w:r>
          </w:p>
        </w:tc>
        <w:tc>
          <w:tcPr>
            <w:tcW w:w="921" w:type="dxa"/>
          </w:tcPr>
          <w:p w14:paraId="2DAFC538">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0.1471</w:t>
            </w:r>
          </w:p>
        </w:tc>
      </w:tr>
      <w:tr w14:paraId="5B578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 w:type="dxa"/>
          </w:tcPr>
          <w:p w14:paraId="2267DBB1">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France</w:t>
            </w:r>
          </w:p>
        </w:tc>
        <w:tc>
          <w:tcPr>
            <w:tcW w:w="1072" w:type="dxa"/>
          </w:tcPr>
          <w:p w14:paraId="015F7AF6">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640,323</w:t>
            </w:r>
          </w:p>
        </w:tc>
        <w:tc>
          <w:tcPr>
            <w:tcW w:w="921" w:type="dxa"/>
          </w:tcPr>
          <w:p w14:paraId="105CDE88">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0.1479</w:t>
            </w:r>
          </w:p>
        </w:tc>
        <w:tc>
          <w:tcPr>
            <w:tcW w:w="1168" w:type="dxa"/>
          </w:tcPr>
          <w:p w14:paraId="17C86F31">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0.8879</w:t>
            </w:r>
          </w:p>
        </w:tc>
        <w:tc>
          <w:tcPr>
            <w:tcW w:w="1264" w:type="dxa"/>
          </w:tcPr>
          <w:p w14:paraId="7377CA2D">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0.6442</w:t>
            </w:r>
          </w:p>
        </w:tc>
        <w:tc>
          <w:tcPr>
            <w:tcW w:w="1147" w:type="dxa"/>
          </w:tcPr>
          <w:p w14:paraId="6AB3810E">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0.8020</w:t>
            </w:r>
          </w:p>
        </w:tc>
        <w:tc>
          <w:tcPr>
            <w:tcW w:w="1020" w:type="dxa"/>
          </w:tcPr>
          <w:p w14:paraId="758A09FA">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0.3920</w:t>
            </w:r>
          </w:p>
        </w:tc>
        <w:tc>
          <w:tcPr>
            <w:tcW w:w="1143" w:type="dxa"/>
          </w:tcPr>
          <w:p w14:paraId="099AFB45">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0.5267</w:t>
            </w:r>
          </w:p>
        </w:tc>
        <w:tc>
          <w:tcPr>
            <w:tcW w:w="921" w:type="dxa"/>
          </w:tcPr>
          <w:p w14:paraId="394D0FDF">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0.0808</w:t>
            </w:r>
          </w:p>
        </w:tc>
      </w:tr>
      <w:tr w14:paraId="4A49A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 w:type="dxa"/>
          </w:tcPr>
          <w:p w14:paraId="04567254">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India</w:t>
            </w:r>
          </w:p>
        </w:tc>
        <w:tc>
          <w:tcPr>
            <w:tcW w:w="1072" w:type="dxa"/>
          </w:tcPr>
          <w:p w14:paraId="1D112775">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205,815</w:t>
            </w:r>
          </w:p>
        </w:tc>
        <w:tc>
          <w:tcPr>
            <w:tcW w:w="921" w:type="dxa"/>
          </w:tcPr>
          <w:p w14:paraId="271C9C47">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0.4411</w:t>
            </w:r>
          </w:p>
        </w:tc>
        <w:tc>
          <w:tcPr>
            <w:tcW w:w="1168" w:type="dxa"/>
          </w:tcPr>
          <w:p w14:paraId="56BD02DD">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0.8074</w:t>
            </w:r>
          </w:p>
        </w:tc>
        <w:tc>
          <w:tcPr>
            <w:tcW w:w="1264" w:type="dxa"/>
          </w:tcPr>
          <w:p w14:paraId="19FAEC2E">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0.7592</w:t>
            </w:r>
          </w:p>
        </w:tc>
        <w:tc>
          <w:tcPr>
            <w:tcW w:w="1147" w:type="dxa"/>
          </w:tcPr>
          <w:p w14:paraId="692D3FD3">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0.7343</w:t>
            </w:r>
          </w:p>
        </w:tc>
        <w:tc>
          <w:tcPr>
            <w:tcW w:w="1020" w:type="dxa"/>
          </w:tcPr>
          <w:p w14:paraId="7A07F401">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0.6606</w:t>
            </w:r>
          </w:p>
        </w:tc>
        <w:tc>
          <w:tcPr>
            <w:tcW w:w="1143" w:type="dxa"/>
          </w:tcPr>
          <w:p w14:paraId="5F8E8F9B">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0.6955</w:t>
            </w:r>
          </w:p>
        </w:tc>
        <w:tc>
          <w:tcPr>
            <w:tcW w:w="921" w:type="dxa"/>
          </w:tcPr>
          <w:p w14:paraId="7BE2D999">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0.2135</w:t>
            </w:r>
          </w:p>
        </w:tc>
      </w:tr>
    </w:tbl>
    <w:p w14:paraId="6198544F">
      <w:pPr>
        <w:spacing w:line="240" w:lineRule="auto"/>
        <w:rPr>
          <w:rFonts w:hint="default" w:ascii="Times New Roman" w:hAnsi="Times New Roman" w:eastAsia="Times New Roman" w:cs="Times New Roman"/>
          <w:i/>
          <w:iCs/>
          <w:sz w:val="24"/>
          <w:szCs w:val="24"/>
          <w:highlight w:val="white"/>
        </w:rPr>
      </w:pPr>
      <w:r>
        <w:rPr>
          <w:rFonts w:hint="default" w:ascii="Times New Roman" w:hAnsi="Times New Roman" w:eastAsia="Times New Roman" w:cs="Times New Roman"/>
          <w:i/>
          <w:iCs/>
          <w:sz w:val="24"/>
          <w:szCs w:val="24"/>
          <w:highlight w:val="white"/>
        </w:rPr>
        <w:t xml:space="preserve"> Table </w:t>
      </w:r>
      <w:r>
        <w:rPr>
          <w:rFonts w:hint="default" w:ascii="Times New Roman" w:hAnsi="Times New Roman" w:eastAsia="Times New Roman" w:cs="Times New Roman"/>
          <w:i/>
          <w:iCs/>
          <w:sz w:val="24"/>
          <w:szCs w:val="24"/>
          <w:highlight w:val="white"/>
          <w:lang w:val="en-US"/>
        </w:rPr>
        <w:t>4</w:t>
      </w:r>
      <w:r>
        <w:rPr>
          <w:rFonts w:hint="default" w:ascii="Times New Roman" w:hAnsi="Times New Roman" w:eastAsia="Times New Roman" w:cs="Times New Roman"/>
          <w:i/>
          <w:iCs/>
          <w:sz w:val="24"/>
          <w:szCs w:val="24"/>
          <w:highlight w:val="white"/>
        </w:rPr>
        <w:t xml:space="preserve">: Country hold-out evaluation for Russia, Turkey, France, and India. </w:t>
      </w:r>
    </w:p>
    <w:p w14:paraId="7FAB7ACC">
      <w:pPr>
        <w:spacing w:line="240" w:lineRule="auto"/>
        <w:rPr>
          <w:rFonts w:hint="default" w:ascii="Times New Roman" w:hAnsi="Times New Roman" w:eastAsia="Times New Roman" w:cs="Times New Roman"/>
          <w:i/>
          <w:iCs/>
          <w:sz w:val="24"/>
          <w:szCs w:val="24"/>
          <w:highlight w:val="white"/>
        </w:rPr>
      </w:pPr>
    </w:p>
    <w:p w14:paraId="25D12EC1">
      <w:pPr>
        <w:spacing w:line="240" w:lineRule="auto"/>
        <w:rPr>
          <w:rFonts w:hint="default" w:ascii="Times New Roman" w:hAnsi="Times New Roman" w:eastAsia="Times New Roman" w:cs="Times New Roman"/>
          <w:b/>
          <w:bCs/>
          <w:sz w:val="24"/>
          <w:szCs w:val="24"/>
          <w:highlight w:val="white"/>
        </w:rPr>
      </w:pPr>
      <w:r>
        <w:rPr>
          <w:rFonts w:hint="default" w:ascii="Times New Roman" w:hAnsi="Times New Roman" w:eastAsia="Times New Roman" w:cs="Times New Roman"/>
          <w:b/>
          <w:bCs/>
          <w:sz w:val="24"/>
          <w:szCs w:val="24"/>
          <w:highlight w:val="white"/>
        </w:rPr>
        <w:t>3.5 Kazakhstan Resistance Inference</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9"/>
        <w:gridCol w:w="1456"/>
        <w:gridCol w:w="1416"/>
        <w:gridCol w:w="855"/>
        <w:gridCol w:w="855"/>
        <w:gridCol w:w="878"/>
        <w:gridCol w:w="855"/>
        <w:gridCol w:w="936"/>
        <w:gridCol w:w="936"/>
      </w:tblGrid>
      <w:tr w14:paraId="7AB02DB8">
        <w:tblPrEx>
          <w:tblCellMar>
            <w:top w:w="0" w:type="dxa"/>
            <w:left w:w="108" w:type="dxa"/>
            <w:bottom w:w="0" w:type="dxa"/>
            <w:right w:w="108" w:type="dxa"/>
          </w:tblCellMar>
        </w:tblPrEx>
        <w:tc>
          <w:tcPr>
            <w:tcW w:w="1064" w:type="dxa"/>
          </w:tcPr>
          <w:p w14:paraId="4220DDF3">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Organism</w:t>
            </w:r>
          </w:p>
        </w:tc>
        <w:tc>
          <w:tcPr>
            <w:tcW w:w="1064" w:type="dxa"/>
          </w:tcPr>
          <w:p w14:paraId="274E87D1">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Mean (2017–2023)</w:t>
            </w:r>
          </w:p>
        </w:tc>
        <w:tc>
          <w:tcPr>
            <w:tcW w:w="1064" w:type="dxa"/>
          </w:tcPr>
          <w:p w14:paraId="06E40E90">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95% CI</w:t>
            </w:r>
          </w:p>
        </w:tc>
        <w:tc>
          <w:tcPr>
            <w:tcW w:w="1064" w:type="dxa"/>
          </w:tcPr>
          <w:p w14:paraId="2C62C405">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2017</w:t>
            </w:r>
          </w:p>
        </w:tc>
        <w:tc>
          <w:tcPr>
            <w:tcW w:w="1064" w:type="dxa"/>
          </w:tcPr>
          <w:p w14:paraId="2404D982">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2023</w:t>
            </w:r>
          </w:p>
        </w:tc>
        <w:tc>
          <w:tcPr>
            <w:tcW w:w="1064" w:type="dxa"/>
          </w:tcPr>
          <w:p w14:paraId="1E87D898">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Trend</w:t>
            </w:r>
          </w:p>
        </w:tc>
        <w:tc>
          <w:tcPr>
            <w:tcW w:w="1064" w:type="dxa"/>
          </w:tcPr>
          <w:p w14:paraId="0ABCDDCA">
            <w:pPr>
              <w:widowControl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ρ</w:t>
            </w:r>
            <w:r>
              <w:rPr>
                <w:rFonts w:hint="default" w:ascii="Times New Roman" w:hAnsi="Times New Roman" w:cs="Times New Roman"/>
                <w:sz w:val="24"/>
                <w:szCs w:val="24"/>
                <w:lang w:val="en-US"/>
              </w:rPr>
              <w:t xml:space="preserve"> </w:t>
            </w:r>
          </w:p>
        </w:tc>
        <w:tc>
          <w:tcPr>
            <w:tcW w:w="1064" w:type="dxa"/>
          </w:tcPr>
          <w:p w14:paraId="10BF4312">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p (BH)</w:t>
            </w:r>
          </w:p>
        </w:tc>
        <w:tc>
          <w:tcPr>
            <w:tcW w:w="1064" w:type="dxa"/>
          </w:tcPr>
          <w:p w14:paraId="709A3C42">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p (Bonf)</w:t>
            </w:r>
          </w:p>
        </w:tc>
      </w:tr>
      <w:tr w14:paraId="4771F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8B89D62">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A. baumannii</w:t>
            </w:r>
          </w:p>
        </w:tc>
        <w:tc>
          <w:tcPr>
            <w:tcW w:w="1064" w:type="dxa"/>
          </w:tcPr>
          <w:p w14:paraId="0D8163B3">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0.551</w:t>
            </w:r>
          </w:p>
        </w:tc>
        <w:tc>
          <w:tcPr>
            <w:tcW w:w="1064" w:type="dxa"/>
          </w:tcPr>
          <w:p w14:paraId="22085825">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0.508–0.591</w:t>
            </w:r>
          </w:p>
        </w:tc>
        <w:tc>
          <w:tcPr>
            <w:tcW w:w="1064" w:type="dxa"/>
          </w:tcPr>
          <w:p w14:paraId="7D1BBBB8">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0.562</w:t>
            </w:r>
          </w:p>
        </w:tc>
        <w:tc>
          <w:tcPr>
            <w:tcW w:w="1064" w:type="dxa"/>
          </w:tcPr>
          <w:p w14:paraId="67E77FE0">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0.662</w:t>
            </w:r>
          </w:p>
        </w:tc>
        <w:tc>
          <w:tcPr>
            <w:tcW w:w="1064" w:type="dxa"/>
          </w:tcPr>
          <w:p w14:paraId="191F4FA1">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rising</w:t>
            </w:r>
          </w:p>
        </w:tc>
        <w:tc>
          <w:tcPr>
            <w:tcW w:w="1064" w:type="dxa"/>
          </w:tcPr>
          <w:p w14:paraId="64737715">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0.786</w:t>
            </w:r>
          </w:p>
        </w:tc>
        <w:tc>
          <w:tcPr>
            <w:tcW w:w="1064" w:type="dxa"/>
          </w:tcPr>
          <w:p w14:paraId="1151D66E">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0.0489</w:t>
            </w:r>
          </w:p>
        </w:tc>
        <w:tc>
          <w:tcPr>
            <w:tcW w:w="1064" w:type="dxa"/>
          </w:tcPr>
          <w:p w14:paraId="427A2436">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0.2174</w:t>
            </w:r>
          </w:p>
        </w:tc>
      </w:tr>
      <w:tr w14:paraId="7C27D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B28D7DE">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K. pneumoniae</w:t>
            </w:r>
          </w:p>
        </w:tc>
        <w:tc>
          <w:tcPr>
            <w:tcW w:w="1064" w:type="dxa"/>
          </w:tcPr>
          <w:p w14:paraId="5B1EB3BF">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0.434</w:t>
            </w:r>
          </w:p>
        </w:tc>
        <w:tc>
          <w:tcPr>
            <w:tcW w:w="1064" w:type="dxa"/>
          </w:tcPr>
          <w:p w14:paraId="12EB644A">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0.383–0.486</w:t>
            </w:r>
          </w:p>
        </w:tc>
        <w:tc>
          <w:tcPr>
            <w:tcW w:w="1064" w:type="dxa"/>
          </w:tcPr>
          <w:p w14:paraId="42BABA35">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0.399</w:t>
            </w:r>
          </w:p>
        </w:tc>
        <w:tc>
          <w:tcPr>
            <w:tcW w:w="1064" w:type="dxa"/>
          </w:tcPr>
          <w:p w14:paraId="733940AA">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0.561</w:t>
            </w:r>
          </w:p>
        </w:tc>
        <w:tc>
          <w:tcPr>
            <w:tcW w:w="1064" w:type="dxa"/>
          </w:tcPr>
          <w:p w14:paraId="6B42F6CD">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rising</w:t>
            </w:r>
          </w:p>
        </w:tc>
        <w:tc>
          <w:tcPr>
            <w:tcW w:w="1064" w:type="dxa"/>
          </w:tcPr>
          <w:p w14:paraId="01005896">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0.536</w:t>
            </w:r>
          </w:p>
        </w:tc>
        <w:tc>
          <w:tcPr>
            <w:tcW w:w="1064" w:type="dxa"/>
          </w:tcPr>
          <w:p w14:paraId="079FD2D3">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0.2152</w:t>
            </w:r>
          </w:p>
        </w:tc>
        <w:tc>
          <w:tcPr>
            <w:tcW w:w="1064" w:type="dxa"/>
          </w:tcPr>
          <w:p w14:paraId="327A6266">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&gt;0.99</w:t>
            </w:r>
          </w:p>
        </w:tc>
      </w:tr>
      <w:tr w14:paraId="44478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CC72F08">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E. faecium</w:t>
            </w:r>
          </w:p>
        </w:tc>
        <w:tc>
          <w:tcPr>
            <w:tcW w:w="1064" w:type="dxa"/>
          </w:tcPr>
          <w:p w14:paraId="5D66E8F6">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0.423</w:t>
            </w:r>
          </w:p>
        </w:tc>
        <w:tc>
          <w:tcPr>
            <w:tcW w:w="1064" w:type="dxa"/>
          </w:tcPr>
          <w:p w14:paraId="121356BF">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0.365–0.481</w:t>
            </w:r>
          </w:p>
        </w:tc>
        <w:tc>
          <w:tcPr>
            <w:tcW w:w="1064" w:type="dxa"/>
          </w:tcPr>
          <w:p w14:paraId="361B004A">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0.376</w:t>
            </w:r>
          </w:p>
        </w:tc>
        <w:tc>
          <w:tcPr>
            <w:tcW w:w="1064" w:type="dxa"/>
          </w:tcPr>
          <w:p w14:paraId="5C441D7A">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0.609</w:t>
            </w:r>
          </w:p>
        </w:tc>
        <w:tc>
          <w:tcPr>
            <w:tcW w:w="1064" w:type="dxa"/>
          </w:tcPr>
          <w:p w14:paraId="30F1B40A">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rising</w:t>
            </w:r>
          </w:p>
        </w:tc>
        <w:tc>
          <w:tcPr>
            <w:tcW w:w="1064" w:type="dxa"/>
          </w:tcPr>
          <w:p w14:paraId="6E832355">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0.786</w:t>
            </w:r>
          </w:p>
        </w:tc>
        <w:tc>
          <w:tcPr>
            <w:tcW w:w="1064" w:type="dxa"/>
          </w:tcPr>
          <w:p w14:paraId="0C3F1C9A">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0.0489</w:t>
            </w:r>
          </w:p>
        </w:tc>
        <w:tc>
          <w:tcPr>
            <w:tcW w:w="1064" w:type="dxa"/>
          </w:tcPr>
          <w:p w14:paraId="7DE7B823">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0.2174</w:t>
            </w:r>
          </w:p>
        </w:tc>
      </w:tr>
      <w:tr w14:paraId="4261D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48AD7754">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P. aeruginosa</w:t>
            </w:r>
          </w:p>
        </w:tc>
        <w:tc>
          <w:tcPr>
            <w:tcW w:w="1064" w:type="dxa"/>
          </w:tcPr>
          <w:p w14:paraId="47060E7F">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0.269</w:t>
            </w:r>
          </w:p>
        </w:tc>
        <w:tc>
          <w:tcPr>
            <w:tcW w:w="1064" w:type="dxa"/>
          </w:tcPr>
          <w:p w14:paraId="7781AF84">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0.242–0.295</w:t>
            </w:r>
          </w:p>
        </w:tc>
        <w:tc>
          <w:tcPr>
            <w:tcW w:w="1064" w:type="dxa"/>
          </w:tcPr>
          <w:p w14:paraId="1AB8AA0B">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0.291</w:t>
            </w:r>
          </w:p>
        </w:tc>
        <w:tc>
          <w:tcPr>
            <w:tcW w:w="1064" w:type="dxa"/>
          </w:tcPr>
          <w:p w14:paraId="64DFD800">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0.348</w:t>
            </w:r>
          </w:p>
        </w:tc>
        <w:tc>
          <w:tcPr>
            <w:tcW w:w="1064" w:type="dxa"/>
          </w:tcPr>
          <w:p w14:paraId="4ED5E842">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rising</w:t>
            </w:r>
          </w:p>
        </w:tc>
        <w:tc>
          <w:tcPr>
            <w:tcW w:w="1064" w:type="dxa"/>
          </w:tcPr>
          <w:p w14:paraId="0C326536">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0.775</w:t>
            </w:r>
          </w:p>
        </w:tc>
        <w:tc>
          <w:tcPr>
            <w:tcW w:w="1064" w:type="dxa"/>
          </w:tcPr>
          <w:p w14:paraId="62269CC0">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0.0489</w:t>
            </w:r>
          </w:p>
        </w:tc>
        <w:tc>
          <w:tcPr>
            <w:tcW w:w="1064" w:type="dxa"/>
          </w:tcPr>
          <w:p w14:paraId="6EE6CF73">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0.2446</w:t>
            </w:r>
          </w:p>
        </w:tc>
      </w:tr>
      <w:tr w14:paraId="66803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65D73913">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E. coli</w:t>
            </w:r>
          </w:p>
        </w:tc>
        <w:tc>
          <w:tcPr>
            <w:tcW w:w="1064" w:type="dxa"/>
          </w:tcPr>
          <w:p w14:paraId="7A554FD4">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0.267</w:t>
            </w:r>
          </w:p>
        </w:tc>
        <w:tc>
          <w:tcPr>
            <w:tcW w:w="1064" w:type="dxa"/>
          </w:tcPr>
          <w:p w14:paraId="4CC04F5F">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0.226–0.307</w:t>
            </w:r>
          </w:p>
        </w:tc>
        <w:tc>
          <w:tcPr>
            <w:tcW w:w="1064" w:type="dxa"/>
          </w:tcPr>
          <w:p w14:paraId="56B7D9A8">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0.201</w:t>
            </w:r>
          </w:p>
        </w:tc>
        <w:tc>
          <w:tcPr>
            <w:tcW w:w="1064" w:type="dxa"/>
          </w:tcPr>
          <w:p w14:paraId="7FD9DDE7">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0.402</w:t>
            </w:r>
          </w:p>
        </w:tc>
        <w:tc>
          <w:tcPr>
            <w:tcW w:w="1064" w:type="dxa"/>
          </w:tcPr>
          <w:p w14:paraId="6DF9E40F">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rising</w:t>
            </w:r>
          </w:p>
        </w:tc>
        <w:tc>
          <w:tcPr>
            <w:tcW w:w="1064" w:type="dxa"/>
          </w:tcPr>
          <w:p w14:paraId="2B1C71F2">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0.786</w:t>
            </w:r>
          </w:p>
        </w:tc>
        <w:tc>
          <w:tcPr>
            <w:tcW w:w="1064" w:type="dxa"/>
          </w:tcPr>
          <w:p w14:paraId="29168647">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0.0489</w:t>
            </w:r>
          </w:p>
        </w:tc>
        <w:tc>
          <w:tcPr>
            <w:tcW w:w="1064" w:type="dxa"/>
          </w:tcPr>
          <w:p w14:paraId="76BEDBA4">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0.2174</w:t>
            </w:r>
          </w:p>
        </w:tc>
      </w:tr>
      <w:tr w14:paraId="7EA9F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348013B1">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S. aureus</w:t>
            </w:r>
          </w:p>
        </w:tc>
        <w:tc>
          <w:tcPr>
            <w:tcW w:w="1064" w:type="dxa"/>
          </w:tcPr>
          <w:p w14:paraId="76A82591">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0.097</w:t>
            </w:r>
          </w:p>
        </w:tc>
        <w:tc>
          <w:tcPr>
            <w:tcW w:w="1064" w:type="dxa"/>
          </w:tcPr>
          <w:p w14:paraId="329CDD78">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0.080–0.115</w:t>
            </w:r>
          </w:p>
        </w:tc>
        <w:tc>
          <w:tcPr>
            <w:tcW w:w="1064" w:type="dxa"/>
          </w:tcPr>
          <w:p w14:paraId="2A466F9D">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0.111</w:t>
            </w:r>
          </w:p>
        </w:tc>
        <w:tc>
          <w:tcPr>
            <w:tcW w:w="1064" w:type="dxa"/>
          </w:tcPr>
          <w:p w14:paraId="70B89596">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0.141</w:t>
            </w:r>
          </w:p>
        </w:tc>
        <w:tc>
          <w:tcPr>
            <w:tcW w:w="1064" w:type="dxa"/>
          </w:tcPr>
          <w:p w14:paraId="47EDD6FB">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rising</w:t>
            </w:r>
          </w:p>
        </w:tc>
        <w:tc>
          <w:tcPr>
            <w:tcW w:w="1064" w:type="dxa"/>
          </w:tcPr>
          <w:p w14:paraId="50F6B4EF">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0.786</w:t>
            </w:r>
          </w:p>
        </w:tc>
        <w:tc>
          <w:tcPr>
            <w:tcW w:w="1064" w:type="dxa"/>
          </w:tcPr>
          <w:p w14:paraId="7AD87049">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0.0489</w:t>
            </w:r>
          </w:p>
        </w:tc>
        <w:tc>
          <w:tcPr>
            <w:tcW w:w="1064" w:type="dxa"/>
          </w:tcPr>
          <w:p w14:paraId="79B64EE6">
            <w:pPr>
              <w:widowControl w:val="0"/>
              <w:spacing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0.2174</w:t>
            </w:r>
          </w:p>
        </w:tc>
      </w:tr>
    </w:tbl>
    <w:p w14:paraId="18FD7A9F">
      <w:pPr>
        <w:spacing w:line="240" w:lineRule="auto"/>
        <w:rPr>
          <w:rFonts w:hint="default" w:ascii="Times New Roman" w:hAnsi="Times New Roman" w:eastAsia="Times New Roman" w:cs="Times New Roman"/>
          <w:i/>
          <w:iCs/>
          <w:sz w:val="24"/>
          <w:szCs w:val="24"/>
          <w:highlight w:val="white"/>
          <w:lang w:val="en-US"/>
        </w:rPr>
      </w:pPr>
      <w:r>
        <w:rPr>
          <w:rFonts w:hint="default" w:ascii="Times New Roman" w:hAnsi="Times New Roman" w:eastAsia="Times New Roman" w:cs="Times New Roman"/>
          <w:i/>
          <w:iCs/>
          <w:sz w:val="24"/>
          <w:szCs w:val="24"/>
          <w:highlight w:val="white"/>
        </w:rPr>
        <w:t xml:space="preserve">Table </w:t>
      </w:r>
      <w:r>
        <w:rPr>
          <w:rFonts w:hint="default" w:ascii="Times New Roman" w:hAnsi="Times New Roman" w:eastAsia="Times New Roman" w:cs="Times New Roman"/>
          <w:i/>
          <w:iCs/>
          <w:sz w:val="24"/>
          <w:szCs w:val="24"/>
          <w:highlight w:val="white"/>
          <w:lang w:val="en-US"/>
        </w:rPr>
        <w:t>5</w:t>
      </w:r>
      <w:r>
        <w:rPr>
          <w:rFonts w:hint="default" w:ascii="Times New Roman" w:hAnsi="Times New Roman" w:eastAsia="Times New Roman" w:cs="Times New Roman"/>
          <w:i/>
          <w:iCs/>
          <w:sz w:val="24"/>
          <w:szCs w:val="24"/>
          <w:highlight w:val="white"/>
        </w:rPr>
        <w:t>. Predicted probabilities of resistance (2017–2023) with associated 95% bootstrap CIs (1,000 resamples) for six WHO-priority pathogens for Kazakhstan, based on the global LOCO model. Spearman trend statistics are ρ, p(BH), and p(Bonf)</w:t>
      </w:r>
      <w:r>
        <w:rPr>
          <w:rFonts w:hint="default" w:ascii="Times New Roman" w:hAnsi="Times New Roman" w:eastAsia="Times New Roman" w:cs="Times New Roman"/>
          <w:i/>
          <w:iCs/>
          <w:sz w:val="24"/>
          <w:szCs w:val="24"/>
          <w:highlight w:val="white"/>
          <w:lang w:val="en-US"/>
        </w:rPr>
        <w:t>.</w:t>
      </w:r>
    </w:p>
    <w:p w14:paraId="5FB93F21">
      <w:pPr>
        <w:pStyle w:val="13"/>
        <w:rPr>
          <w:rFonts w:hint="default" w:ascii="Times New Roman" w:hAnsi="Times New Roman" w:cs="Times New Roman"/>
          <w:sz w:val="24"/>
          <w:szCs w:val="24"/>
          <w:lang w:val="en-US"/>
        </w:rPr>
      </w:pPr>
      <w:r>
        <w:rPr>
          <w:rFonts w:hint="default" w:ascii="Times New Roman" w:hAnsi="Times New Roman" w:cs="Times New Roman"/>
          <w:sz w:val="24"/>
          <w:szCs w:val="24"/>
          <w:highlight w:val="white"/>
          <w:lang w:val="en-US"/>
        </w:rPr>
        <w:br w:type="textWrapping"/>
      </w:r>
      <w:r>
        <w:rPr>
          <w:rStyle w:val="26"/>
          <w:rFonts w:hint="default" w:ascii="Times New Roman" w:hAnsi="Times New Roman" w:cs="Times New Roman"/>
          <w:sz w:val="24"/>
          <w:szCs w:val="24"/>
          <w:lang w:val="en-US"/>
        </w:rPr>
        <w:t>The mean calibrated resistance probability for each of Kazakhstan's six WHO-priority pathogens (2017–2023) is reported in Table 5, with 95% bootstrap (1,000 resamples) CIs to show uncertainty.</w:t>
      </w:r>
      <w:r>
        <w:rPr>
          <w:rFonts w:hint="default" w:ascii="Times New Roman" w:hAnsi="Times New Roman" w:cs="Times New Roman"/>
          <w:sz w:val="24"/>
          <w:szCs w:val="24"/>
          <w:lang w:val="en-US"/>
        </w:rPr>
        <w:br w:type="textWrapping"/>
      </w:r>
      <w:r>
        <w:rPr>
          <w:rStyle w:val="26"/>
          <w:rFonts w:hint="default" w:ascii="Times New Roman" w:hAnsi="Times New Roman" w:cs="Times New Roman"/>
          <w:sz w:val="24"/>
          <w:szCs w:val="24"/>
          <w:lang w:val="en-US"/>
        </w:rPr>
        <w:t>Three pathogens had high mean predicted resistance (PMR) values, with </w:t>
      </w:r>
      <w:r>
        <w:rPr>
          <w:rStyle w:val="11"/>
          <w:rFonts w:hint="default" w:ascii="Times New Roman" w:hAnsi="Times New Roman" w:cs="Times New Roman"/>
          <w:sz w:val="24"/>
          <w:szCs w:val="24"/>
          <w:lang w:val="en-US"/>
        </w:rPr>
        <w:t>Acinetobacter baumannii</w:t>
      </w:r>
      <w:r>
        <w:rPr>
          <w:rStyle w:val="26"/>
          <w:rFonts w:hint="default" w:ascii="Times New Roman" w:hAnsi="Times New Roman" w:cs="Times New Roman"/>
          <w:sz w:val="24"/>
          <w:szCs w:val="24"/>
          <w:lang w:val="en-US"/>
        </w:rPr>
        <w:t> (0.551) being the most resistant, followed by </w:t>
      </w:r>
      <w:r>
        <w:rPr>
          <w:rStyle w:val="11"/>
          <w:rFonts w:hint="default" w:ascii="Times New Roman" w:hAnsi="Times New Roman" w:cs="Times New Roman"/>
          <w:sz w:val="24"/>
          <w:szCs w:val="24"/>
          <w:lang w:val="en-US"/>
        </w:rPr>
        <w:t>Klebsiella pneumoniae</w:t>
      </w:r>
      <w:r>
        <w:rPr>
          <w:rStyle w:val="26"/>
          <w:rFonts w:hint="default" w:ascii="Times New Roman" w:hAnsi="Times New Roman" w:cs="Times New Roman"/>
          <w:sz w:val="24"/>
          <w:szCs w:val="24"/>
          <w:lang w:val="en-US"/>
        </w:rPr>
        <w:t> (0.434) and </w:t>
      </w:r>
      <w:r>
        <w:rPr>
          <w:rStyle w:val="11"/>
          <w:rFonts w:hint="default" w:ascii="Times New Roman" w:hAnsi="Times New Roman" w:cs="Times New Roman"/>
          <w:sz w:val="24"/>
          <w:szCs w:val="24"/>
          <w:lang w:val="en-US"/>
        </w:rPr>
        <w:t>Enterococcus faecium</w:t>
      </w:r>
      <w:r>
        <w:rPr>
          <w:rStyle w:val="26"/>
          <w:rFonts w:hint="default" w:ascii="Times New Roman" w:hAnsi="Times New Roman" w:cs="Times New Roman"/>
          <w:sz w:val="24"/>
          <w:szCs w:val="24"/>
          <w:lang w:val="en-US"/>
        </w:rPr>
        <w:t> (0.423).</w:t>
      </w:r>
      <w:r>
        <w:rPr>
          <w:rFonts w:hint="default" w:ascii="Times New Roman" w:hAnsi="Times New Roman" w:cs="Times New Roman"/>
          <w:sz w:val="24"/>
          <w:szCs w:val="24"/>
          <w:lang w:val="en-US"/>
        </w:rPr>
        <w:t> </w:t>
      </w:r>
      <w:r>
        <w:rPr>
          <w:rStyle w:val="11"/>
          <w:rFonts w:hint="default" w:ascii="Times New Roman" w:hAnsi="Times New Roman" w:cs="Times New Roman"/>
          <w:sz w:val="24"/>
          <w:szCs w:val="24"/>
          <w:lang w:val="en-US"/>
        </w:rPr>
        <w:t>Staphylococcus aureus</w:t>
      </w:r>
      <w:r>
        <w:rPr>
          <w:rStyle w:val="26"/>
          <w:rFonts w:hint="default" w:ascii="Times New Roman" w:hAnsi="Times New Roman" w:cs="Times New Roman"/>
          <w:sz w:val="24"/>
          <w:szCs w:val="24"/>
          <w:lang w:val="en-US"/>
        </w:rPr>
        <w:t> had the lowest (0.097; 95% CI 0.080–0.115).</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None of the organisms exhibited a decrease in predicted probability during the study period from 2017 to 2023.</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A Spearman rank correlation with Benjamini–Hochberg FDR correction was performed on the annual mean series for the 6 pathogens.</w:t>
      </w:r>
      <w:r>
        <w:rPr>
          <w:rFonts w:hint="default" w:ascii="Times New Roman" w:hAnsi="Times New Roman" w:cs="Times New Roman"/>
          <w:sz w:val="24"/>
          <w:szCs w:val="24"/>
          <w:lang w:val="en-US"/>
        </w:rPr>
        <w:t xml:space="preserve"> </w:t>
      </w:r>
      <w:r>
        <w:rPr>
          <w:rStyle w:val="26"/>
          <w:rFonts w:hint="default" w:ascii="Times New Roman" w:hAnsi="Times New Roman" w:cs="Times New Roman"/>
          <w:sz w:val="24"/>
          <w:szCs w:val="24"/>
          <w:lang w:val="en-US"/>
        </w:rPr>
        <w:t>Of these organisms, five showed positive trends that passed FDR</w:t>
      </w:r>
      <w:r>
        <w:rPr>
          <w:rFonts w:hint="default" w:ascii="Times New Roman" w:hAnsi="Times New Roman" w:cs="Times New Roman"/>
          <w:sz w:val="24"/>
          <w:szCs w:val="24"/>
          <w:lang w:val="en-US"/>
        </w:rPr>
        <w:t xml:space="preserve"> (pBH &lt; 0.049) but did not meet the Bonferroni correction; these are considered hypothesis-generating and should not be considered conclusive. </w:t>
      </w:r>
      <w:r>
        <w:rPr>
          <w:rStyle w:val="11"/>
          <w:rFonts w:hint="default" w:ascii="Times New Roman" w:hAnsi="Times New Roman" w:cs="Times New Roman"/>
          <w:sz w:val="24"/>
          <w:szCs w:val="24"/>
          <w:lang w:val="en-US"/>
        </w:rPr>
        <w:t>K. pneumoniae</w:t>
      </w:r>
      <w:r>
        <w:rPr>
          <w:rFonts w:hint="default" w:ascii="Times New Roman" w:hAnsi="Times New Roman" w:cs="Times New Roman"/>
          <w:sz w:val="24"/>
          <w:szCs w:val="24"/>
          <w:lang w:val="en-US"/>
        </w:rPr>
        <w:t> showed no significant trend (</w:t>
      </w:r>
      <w:r>
        <w:rPr>
          <w:rFonts w:hint="default" w:ascii="Times New Roman" w:hAnsi="Times New Roman" w:cs="Times New Roman"/>
          <w:sz w:val="24"/>
          <w:szCs w:val="24"/>
        </w:rPr>
        <w:t>ρ</w:t>
      </w:r>
      <w:r>
        <w:rPr>
          <w:rFonts w:hint="default" w:ascii="Times New Roman" w:hAnsi="Times New Roman" w:cs="Times New Roman"/>
          <w:sz w:val="24"/>
          <w:szCs w:val="24"/>
          <w:lang w:val="en-US"/>
        </w:rPr>
        <w:t xml:space="preserve"> = 0.536, pBH = 0.215).</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 xml:space="preserve">At the level of the antibiotic class, the highest rate of predicted antibiotic resistance occurred for penicillins, with almost complete intrinsic resistance to ampicillin (0.99), and most strongly in </w:t>
      </w:r>
      <w:r>
        <w:rPr>
          <w:rStyle w:val="11"/>
          <w:rFonts w:hint="default" w:ascii="Times New Roman" w:hAnsi="Times New Roman" w:cs="Times New Roman"/>
          <w:sz w:val="24"/>
          <w:szCs w:val="24"/>
          <w:lang w:val="en-US"/>
        </w:rPr>
        <w:t>Enterococcus faecium</w:t>
      </w:r>
      <w:r>
        <w:rPr>
          <w:rFonts w:hint="default" w:ascii="Times New Roman" w:hAnsi="Times New Roman" w:cs="Times New Roman"/>
          <w:sz w:val="24"/>
          <w:szCs w:val="24"/>
          <w:lang w:val="en-US"/>
        </w:rPr>
        <w:t xml:space="preserve"> (0.89) and </w:t>
      </w:r>
      <w:r>
        <w:rPr>
          <w:rStyle w:val="11"/>
          <w:rFonts w:hint="default" w:ascii="Times New Roman" w:hAnsi="Times New Roman" w:cs="Times New Roman"/>
          <w:sz w:val="24"/>
          <w:szCs w:val="24"/>
          <w:lang w:val="en-US"/>
        </w:rPr>
        <w:t>Klebsiella pneumoniae</w:t>
      </w:r>
      <w:r>
        <w:rPr>
          <w:rFonts w:hint="default" w:ascii="Times New Roman" w:hAnsi="Times New Roman" w:cs="Times New Roman"/>
          <w:sz w:val="24"/>
          <w:szCs w:val="24"/>
          <w:lang w:val="en-US"/>
        </w:rPr>
        <w:t xml:space="preserve"> (0.99), the latter two being typically highly resistant to ampicillin. For the other classes, the highest scores were observed for </w:t>
      </w:r>
      <w:r>
        <w:rPr>
          <w:rStyle w:val="11"/>
          <w:rFonts w:hint="default" w:ascii="Times New Roman" w:hAnsi="Times New Roman" w:cs="Times New Roman"/>
          <w:sz w:val="24"/>
          <w:szCs w:val="24"/>
          <w:lang w:val="en-US"/>
        </w:rPr>
        <w:t>E. faecium</w:t>
      </w:r>
      <w:r>
        <w:rPr>
          <w:rFonts w:hint="default" w:ascii="Times New Roman" w:hAnsi="Times New Roman" w:cs="Times New Roman"/>
          <w:sz w:val="24"/>
          <w:szCs w:val="24"/>
          <w:lang w:val="en-US"/>
        </w:rPr>
        <w:t xml:space="preserve"> (fluoroquinolones, 0.56), </w:t>
      </w:r>
      <w:r>
        <w:rPr>
          <w:rStyle w:val="11"/>
          <w:rFonts w:hint="default" w:ascii="Times New Roman" w:hAnsi="Times New Roman" w:cs="Times New Roman"/>
          <w:sz w:val="24"/>
          <w:szCs w:val="24"/>
          <w:lang w:val="en-US"/>
        </w:rPr>
        <w:t>K. pneumoniae</w:t>
      </w:r>
      <w:r>
        <w:rPr>
          <w:rFonts w:hint="default" w:ascii="Times New Roman" w:hAnsi="Times New Roman" w:cs="Times New Roman"/>
          <w:sz w:val="24"/>
          <w:szCs w:val="24"/>
          <w:lang w:val="en-US"/>
        </w:rPr>
        <w:t xml:space="preserve"> (cephalosporins, 0.54), and </w:t>
      </w:r>
      <w:r>
        <w:rPr>
          <w:rStyle w:val="11"/>
          <w:rFonts w:hint="default" w:ascii="Times New Roman" w:hAnsi="Times New Roman" w:cs="Times New Roman"/>
          <w:sz w:val="24"/>
          <w:szCs w:val="24"/>
          <w:lang w:val="en-US"/>
        </w:rPr>
        <w:t>A. baumannii</w:t>
      </w:r>
      <w:r>
        <w:rPr>
          <w:rFonts w:hint="default" w:ascii="Times New Roman" w:hAnsi="Times New Roman" w:cs="Times New Roman"/>
          <w:sz w:val="24"/>
          <w:szCs w:val="24"/>
          <w:lang w:val="en-US"/>
        </w:rPr>
        <w:t xml:space="preserve"> (cephalosporins, 0.73).</w:t>
      </w:r>
    </w:p>
    <w:tbl>
      <w:tblPr>
        <w:tblStyle w:val="16"/>
        <w:tblW w:w="94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4"/>
        <w:gridCol w:w="1458"/>
        <w:gridCol w:w="900"/>
        <w:gridCol w:w="852"/>
        <w:gridCol w:w="787"/>
        <w:gridCol w:w="1200"/>
        <w:gridCol w:w="1607"/>
        <w:gridCol w:w="1404"/>
      </w:tblGrid>
      <w:tr w14:paraId="525C8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4" w:type="dxa"/>
          </w:tcPr>
          <w:p w14:paraId="22673595">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Organism</w:t>
            </w:r>
          </w:p>
        </w:tc>
        <w:tc>
          <w:tcPr>
            <w:tcW w:w="1458" w:type="dxa"/>
          </w:tcPr>
          <w:p w14:paraId="6D8598B0">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Antibiotic</w:t>
            </w:r>
          </w:p>
        </w:tc>
        <w:tc>
          <w:tcPr>
            <w:tcW w:w="900" w:type="dxa"/>
          </w:tcPr>
          <w:p w14:paraId="1B360F74">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Observed_%</w:t>
            </w:r>
          </w:p>
        </w:tc>
        <w:tc>
          <w:tcPr>
            <w:tcW w:w="852" w:type="dxa"/>
          </w:tcPr>
          <w:p w14:paraId="65F7C2B1">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Predicted_%</w:t>
            </w:r>
          </w:p>
        </w:tc>
        <w:tc>
          <w:tcPr>
            <w:tcW w:w="787" w:type="dxa"/>
          </w:tcPr>
          <w:p w14:paraId="1AEF0CD2">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Difference</w:t>
            </w:r>
          </w:p>
        </w:tc>
        <w:tc>
          <w:tcPr>
            <w:tcW w:w="1200" w:type="dxa"/>
          </w:tcPr>
          <w:p w14:paraId="526B3D38">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Direction</w:t>
            </w:r>
          </w:p>
        </w:tc>
        <w:tc>
          <w:tcPr>
            <w:tcW w:w="1607" w:type="dxa"/>
          </w:tcPr>
          <w:p w14:paraId="732A9058">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Year_range</w:t>
            </w:r>
          </w:p>
        </w:tc>
        <w:tc>
          <w:tcPr>
            <w:tcW w:w="1404" w:type="dxa"/>
          </w:tcPr>
          <w:p w14:paraId="0EB4FDA8">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Setting</w:t>
            </w:r>
          </w:p>
        </w:tc>
      </w:tr>
      <w:tr w14:paraId="79B98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4" w:type="dxa"/>
          </w:tcPr>
          <w:p w14:paraId="21C690C3">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A. baumannii</w:t>
            </w:r>
          </w:p>
        </w:tc>
        <w:tc>
          <w:tcPr>
            <w:tcW w:w="1458" w:type="dxa"/>
          </w:tcPr>
          <w:p w14:paraId="19B9870F">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Gentamicin</w:t>
            </w:r>
          </w:p>
        </w:tc>
        <w:tc>
          <w:tcPr>
            <w:tcW w:w="900" w:type="dxa"/>
          </w:tcPr>
          <w:p w14:paraId="3FCA04F2">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88.89</w:t>
            </w:r>
          </w:p>
        </w:tc>
        <w:tc>
          <w:tcPr>
            <w:tcW w:w="852" w:type="dxa"/>
          </w:tcPr>
          <w:p w14:paraId="01676ED8">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70.4</w:t>
            </w:r>
          </w:p>
        </w:tc>
        <w:tc>
          <w:tcPr>
            <w:tcW w:w="787" w:type="dxa"/>
          </w:tcPr>
          <w:p w14:paraId="03B39F74">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-18.5</w:t>
            </w:r>
          </w:p>
        </w:tc>
        <w:tc>
          <w:tcPr>
            <w:tcW w:w="1200" w:type="dxa"/>
          </w:tcPr>
          <w:p w14:paraId="6E3349D0">
            <w:pPr>
              <w:widowControl w:val="0"/>
              <w:shd w:val="clear" w:color="auto" w:fill="FFFFFF"/>
              <w:spacing w:before="240" w:after="240" w:line="240" w:lineRule="auto"/>
              <w:jc w:val="both"/>
              <w:rPr>
                <w:rFonts w:hint="default" w:ascii="Times New Roman" w:hAnsi="Times New Roman" w:cs="Times New Roman"/>
                <w:sz w:val="24"/>
                <w:szCs w:val="24"/>
                <w:lang w:val="en-US"/>
              </w:rPr>
            </w:pPr>
            <w:r>
              <w:rPr>
                <w:rFonts w:hint="default" w:ascii="Times New Roman" w:hAnsi="Times New Roman" w:eastAsia="Times New Roman" w:cs="Times New Roman"/>
                <w:sz w:val="24"/>
                <w:szCs w:val="24"/>
                <w:highlight w:val="white"/>
                <w:lang w:val="en-US"/>
              </w:rPr>
              <w:t>&lt;25%</w:t>
            </w:r>
          </w:p>
        </w:tc>
        <w:tc>
          <w:tcPr>
            <w:tcW w:w="1607" w:type="dxa"/>
          </w:tcPr>
          <w:p w14:paraId="27E0E59D">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2022–2023</w:t>
            </w:r>
          </w:p>
        </w:tc>
        <w:tc>
          <w:tcPr>
            <w:tcW w:w="1404" w:type="dxa"/>
          </w:tcPr>
          <w:p w14:paraId="645BD49B">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Pneumonia inpatient</w:t>
            </w:r>
          </w:p>
        </w:tc>
      </w:tr>
      <w:tr w14:paraId="323F3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4" w:type="dxa"/>
          </w:tcPr>
          <w:p w14:paraId="40FEF0D8">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A. baumannii</w:t>
            </w:r>
          </w:p>
        </w:tc>
        <w:tc>
          <w:tcPr>
            <w:tcW w:w="1458" w:type="dxa"/>
          </w:tcPr>
          <w:p w14:paraId="499A6E29">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Ceftriaxone</w:t>
            </w:r>
          </w:p>
        </w:tc>
        <w:tc>
          <w:tcPr>
            <w:tcW w:w="900" w:type="dxa"/>
          </w:tcPr>
          <w:p w14:paraId="345E84C0">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65.38</w:t>
            </w:r>
          </w:p>
        </w:tc>
        <w:tc>
          <w:tcPr>
            <w:tcW w:w="852" w:type="dxa"/>
          </w:tcPr>
          <w:p w14:paraId="5005E345">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84.1</w:t>
            </w:r>
          </w:p>
        </w:tc>
        <w:tc>
          <w:tcPr>
            <w:tcW w:w="787" w:type="dxa"/>
          </w:tcPr>
          <w:p w14:paraId="005B5E92">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18.7</w:t>
            </w:r>
          </w:p>
        </w:tc>
        <w:tc>
          <w:tcPr>
            <w:tcW w:w="1200" w:type="dxa"/>
          </w:tcPr>
          <w:p w14:paraId="78115EBC">
            <w:pPr>
              <w:widowControl w:val="0"/>
              <w:shd w:val="clear" w:color="auto" w:fill="FFFFFF"/>
              <w:spacing w:before="240" w:after="240" w:line="240" w:lineRule="auto"/>
              <w:jc w:val="both"/>
              <w:rPr>
                <w:rFonts w:hint="default" w:ascii="Times New Roman" w:hAnsi="Times New Roman" w:cs="Times New Roman"/>
                <w:sz w:val="24"/>
                <w:szCs w:val="24"/>
                <w:lang w:val="en-US"/>
              </w:rPr>
            </w:pPr>
            <w:r>
              <w:rPr>
                <w:rFonts w:hint="default" w:ascii="Times New Roman" w:hAnsi="Times New Roman" w:eastAsia="Times New Roman" w:cs="Times New Roman"/>
                <w:sz w:val="24"/>
                <w:szCs w:val="24"/>
                <w:highlight w:val="white"/>
                <w:lang w:val="en-US"/>
              </w:rPr>
              <w:t>&lt;25%</w:t>
            </w:r>
          </w:p>
        </w:tc>
        <w:tc>
          <w:tcPr>
            <w:tcW w:w="1607" w:type="dxa"/>
          </w:tcPr>
          <w:p w14:paraId="33925FB3">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2022–2023</w:t>
            </w:r>
          </w:p>
        </w:tc>
        <w:tc>
          <w:tcPr>
            <w:tcW w:w="1404" w:type="dxa"/>
          </w:tcPr>
          <w:p w14:paraId="5DDA19A2">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Pneumonia inpatient</w:t>
            </w:r>
          </w:p>
        </w:tc>
      </w:tr>
      <w:tr w14:paraId="1D596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4" w:type="dxa"/>
          </w:tcPr>
          <w:p w14:paraId="3F8BDF2C">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A. baumannii</w:t>
            </w:r>
          </w:p>
        </w:tc>
        <w:tc>
          <w:tcPr>
            <w:tcW w:w="1458" w:type="dxa"/>
          </w:tcPr>
          <w:p w14:paraId="46592475">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Ciprofloxacin</w:t>
            </w:r>
          </w:p>
        </w:tc>
        <w:tc>
          <w:tcPr>
            <w:tcW w:w="900" w:type="dxa"/>
          </w:tcPr>
          <w:p w14:paraId="3324C210">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65.38</w:t>
            </w:r>
          </w:p>
        </w:tc>
        <w:tc>
          <w:tcPr>
            <w:tcW w:w="852" w:type="dxa"/>
          </w:tcPr>
          <w:p w14:paraId="7F856DD5">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80.6</w:t>
            </w:r>
          </w:p>
        </w:tc>
        <w:tc>
          <w:tcPr>
            <w:tcW w:w="787" w:type="dxa"/>
          </w:tcPr>
          <w:p w14:paraId="12361E1B">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15.2</w:t>
            </w:r>
          </w:p>
        </w:tc>
        <w:tc>
          <w:tcPr>
            <w:tcW w:w="1200" w:type="dxa"/>
          </w:tcPr>
          <w:p w14:paraId="56C212B3">
            <w:pPr>
              <w:widowControl w:val="0"/>
              <w:shd w:val="clear" w:color="auto" w:fill="FFFFFF"/>
              <w:spacing w:before="240" w:after="240" w:line="240" w:lineRule="auto"/>
              <w:jc w:val="both"/>
              <w:rPr>
                <w:rFonts w:hint="default" w:ascii="Times New Roman" w:hAnsi="Times New Roman" w:cs="Times New Roman"/>
                <w:sz w:val="24"/>
                <w:szCs w:val="24"/>
                <w:lang w:val="en-US"/>
              </w:rPr>
            </w:pPr>
            <w:r>
              <w:rPr>
                <w:rFonts w:hint="default" w:ascii="Times New Roman" w:hAnsi="Times New Roman" w:eastAsia="Times New Roman" w:cs="Times New Roman"/>
                <w:sz w:val="24"/>
                <w:szCs w:val="24"/>
                <w:highlight w:val="white"/>
                <w:lang w:val="en-US"/>
              </w:rPr>
              <w:t>&lt;25%</w:t>
            </w:r>
          </w:p>
        </w:tc>
        <w:tc>
          <w:tcPr>
            <w:tcW w:w="1607" w:type="dxa"/>
          </w:tcPr>
          <w:p w14:paraId="496987BB">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2022–2023</w:t>
            </w:r>
          </w:p>
        </w:tc>
        <w:tc>
          <w:tcPr>
            <w:tcW w:w="1404" w:type="dxa"/>
          </w:tcPr>
          <w:p w14:paraId="55F647CA">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Pneumonia inpatient</w:t>
            </w:r>
          </w:p>
        </w:tc>
      </w:tr>
      <w:tr w14:paraId="710AC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4" w:type="dxa"/>
          </w:tcPr>
          <w:p w14:paraId="173711D9">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A. baumannii</w:t>
            </w:r>
          </w:p>
        </w:tc>
        <w:tc>
          <w:tcPr>
            <w:tcW w:w="1458" w:type="dxa"/>
          </w:tcPr>
          <w:p w14:paraId="28EFB888">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Fluoroquinolones (class)</w:t>
            </w:r>
          </w:p>
        </w:tc>
        <w:tc>
          <w:tcPr>
            <w:tcW w:w="900" w:type="dxa"/>
          </w:tcPr>
          <w:p w14:paraId="1DB7BB3C">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100.0</w:t>
            </w:r>
          </w:p>
        </w:tc>
        <w:tc>
          <w:tcPr>
            <w:tcW w:w="852" w:type="dxa"/>
          </w:tcPr>
          <w:p w14:paraId="1366E7E3">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74.2</w:t>
            </w:r>
          </w:p>
        </w:tc>
        <w:tc>
          <w:tcPr>
            <w:tcW w:w="787" w:type="dxa"/>
          </w:tcPr>
          <w:p w14:paraId="065AF35E">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-25.8</w:t>
            </w:r>
          </w:p>
        </w:tc>
        <w:tc>
          <w:tcPr>
            <w:tcW w:w="1200" w:type="dxa"/>
          </w:tcPr>
          <w:p w14:paraId="57675019">
            <w:pPr>
              <w:widowControl w:val="0"/>
              <w:shd w:val="clear" w:color="auto" w:fill="FFFFFF"/>
              <w:spacing w:before="240" w:after="240" w:line="240" w:lineRule="auto"/>
              <w:jc w:val="both"/>
              <w:rPr>
                <w:rFonts w:hint="default" w:ascii="Times New Roman" w:hAnsi="Times New Roman" w:cs="Times New Roman"/>
                <w:sz w:val="24"/>
                <w:szCs w:val="24"/>
                <w:lang w:val="en-US"/>
              </w:rPr>
            </w:pPr>
            <w:r>
              <w:rPr>
                <w:rFonts w:hint="default" w:ascii="Times New Roman" w:hAnsi="Times New Roman" w:eastAsia="Times New Roman" w:cs="Times New Roman"/>
                <w:sz w:val="24"/>
                <w:szCs w:val="24"/>
                <w:highlight w:val="white"/>
                <w:lang w:val="en-US"/>
              </w:rPr>
              <w:t>&gt;25%</w:t>
            </w:r>
          </w:p>
        </w:tc>
        <w:tc>
          <w:tcPr>
            <w:tcW w:w="1607" w:type="dxa"/>
          </w:tcPr>
          <w:p w14:paraId="7004B408">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2022–2023</w:t>
            </w:r>
          </w:p>
        </w:tc>
        <w:tc>
          <w:tcPr>
            <w:tcW w:w="1404" w:type="dxa"/>
          </w:tcPr>
          <w:p w14:paraId="4A6A7E21">
            <w:pPr>
              <w:widowControl w:val="0"/>
              <w:shd w:val="clear" w:color="auto" w:fill="FFFFFF"/>
              <w:spacing w:before="240" w:after="240" w:line="24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highlight w:val="white"/>
              </w:rPr>
              <w:t>Pneumonia inpatient</w:t>
            </w:r>
          </w:p>
        </w:tc>
      </w:tr>
    </w:tbl>
    <w:p w14:paraId="290286FC">
      <w:pPr>
        <w:shd w:val="clear" w:color="auto" w:fill="FFFFFF"/>
        <w:spacing w:before="240" w:after="240" w:line="240" w:lineRule="auto"/>
        <w:rPr>
          <w:rFonts w:hint="default" w:ascii="Times New Roman" w:hAnsi="Times New Roman" w:eastAsia="Times New Roman" w:cs="Times New Roman"/>
          <w:i/>
          <w:iCs/>
          <w:sz w:val="24"/>
          <w:szCs w:val="24"/>
          <w:highlight w:val="white"/>
          <w:lang w:val="kk-KZ"/>
        </w:rPr>
      </w:pPr>
      <w:r>
        <w:rPr>
          <w:rFonts w:hint="default" w:ascii="Times New Roman" w:hAnsi="Times New Roman" w:eastAsia="Times New Roman" w:cs="Times New Roman"/>
          <w:i/>
          <w:iCs/>
          <w:sz w:val="24"/>
          <w:szCs w:val="24"/>
          <w:highlight w:val="white"/>
        </w:rPr>
        <w:t xml:space="preserve">Table </w:t>
      </w:r>
      <w:r>
        <w:rPr>
          <w:rFonts w:hint="default" w:ascii="Times New Roman" w:hAnsi="Times New Roman" w:eastAsia="Times New Roman" w:cs="Times New Roman"/>
          <w:i/>
          <w:iCs/>
          <w:sz w:val="24"/>
          <w:szCs w:val="24"/>
          <w:highlight w:val="white"/>
          <w:lang w:val="en-US"/>
        </w:rPr>
        <w:t>6</w:t>
      </w:r>
      <w:r>
        <w:rPr>
          <w:rFonts w:hint="default" w:ascii="Times New Roman" w:hAnsi="Times New Roman" w:eastAsia="Times New Roman" w:cs="Times New Roman"/>
          <w:i/>
          <w:iCs/>
          <w:sz w:val="24"/>
          <w:szCs w:val="24"/>
          <w:highlight w:val="white"/>
        </w:rPr>
        <w:t>: Face validity comparison of predicted versus observed A. baumannii resistance rates from Strochkov et al.</w:t>
      </w:r>
      <w:r>
        <w:rPr>
          <w:rFonts w:hint="default" w:ascii="Times New Roman" w:hAnsi="Times New Roman" w:eastAsia="Times New Roman" w:cs="Times New Roman"/>
          <w:i/>
          <w:iCs/>
          <w:sz w:val="24"/>
          <w:szCs w:val="24"/>
          <w:highlight w:val="white"/>
          <w:lang w:val="en-US"/>
        </w:rPr>
        <w:t>²¹</w:t>
      </w:r>
      <w:r>
        <w:rPr>
          <w:rFonts w:hint="default" w:ascii="Times New Roman" w:hAnsi="Times New Roman" w:eastAsia="Times New Roman" w:cs="Times New Roman"/>
          <w:i/>
          <w:iCs/>
          <w:sz w:val="24"/>
          <w:szCs w:val="24"/>
          <w:highlight w:val="white"/>
        </w:rPr>
        <w:t>.</w:t>
      </w:r>
      <w:r>
        <w:rPr>
          <w:rFonts w:hint="default" w:ascii="Times New Roman" w:hAnsi="Times New Roman" w:eastAsia="Times New Roman" w:cs="Times New Roman"/>
          <w:i/>
          <w:iCs/>
          <w:sz w:val="24"/>
          <w:szCs w:val="24"/>
          <w:highlight w:val="white"/>
          <w:lang w:val="en-US"/>
        </w:rPr>
        <w:t xml:space="preserve"> In Karaganda. </w:t>
      </w:r>
    </w:p>
    <w:p w14:paraId="49434F3A">
      <w:pPr>
        <w:pStyle w:val="13"/>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4. Discussion</w:t>
      </w:r>
    </w:p>
    <w:p w14:paraId="3FF6B83D">
      <w:pPr>
        <w:pStyle w:val="13"/>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4.1 Key Findings</w:t>
      </w:r>
    </w:p>
    <w:p w14:paraId="139DB97B">
      <w:pPr>
        <w:pStyle w:val="13"/>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The hypothesis that the determinants of AMR are sufficiently universal to allow forecasting at a cross-country level prior to gathering local data was tested. The model performed well in validation and supported—though did not prove—the hypothesis, because the model had a global hold-out AUC score of 0.849 and a LOCO validation AUC score of 0.881 without using any Kazakhstani training set samples. There is a lack of validation samples—isolates—from Kazakhstan against which performance can be directly measured. The biggest predictors were organism and antibiotic identity (75% of the total importance), with the removal of this information causing a decrease in AUC from 0.848 to 0.618, while no macroeconomic group removed led to a change in AUC of more than 0.004. Accordingly, the ranking of resistance is mainly dependent on the organism–antibiotic combination and agrees well with MacFadden et al.⁵. The only pathway through which country-level variation arises in the Kazakhstan inference is in the macroeconomic and consumption features, with their overall contribution to the global discrimination being unimportant. A model for Kazakhstan identified </w:t>
      </w:r>
      <w:r>
        <w:rPr>
          <w:rStyle w:val="11"/>
          <w:rFonts w:hint="default" w:ascii="Times New Roman" w:hAnsi="Times New Roman" w:cs="Times New Roman"/>
          <w:sz w:val="24"/>
          <w:szCs w:val="24"/>
          <w:lang w:val="en-US"/>
        </w:rPr>
        <w:t>A. baumannii</w:t>
      </w:r>
      <w:r>
        <w:rPr>
          <w:rFonts w:hint="default" w:ascii="Times New Roman" w:hAnsi="Times New Roman" w:cs="Times New Roman"/>
          <w:sz w:val="24"/>
          <w:szCs w:val="24"/>
          <w:lang w:val="en-US"/>
        </w:rPr>
        <w:t xml:space="preserve"> as the most worrisome pathogen (mean 0.55), followed by </w:t>
      </w:r>
      <w:r>
        <w:rPr>
          <w:rStyle w:val="11"/>
          <w:rFonts w:hint="default" w:ascii="Times New Roman" w:hAnsi="Times New Roman" w:cs="Times New Roman"/>
          <w:sz w:val="24"/>
          <w:szCs w:val="24"/>
          <w:lang w:val="en-US"/>
        </w:rPr>
        <w:t>K. pneumoniae</w:t>
      </w:r>
      <w:r>
        <w:rPr>
          <w:rFonts w:hint="default" w:ascii="Times New Roman" w:hAnsi="Times New Roman" w:cs="Times New Roman"/>
          <w:sz w:val="24"/>
          <w:szCs w:val="24"/>
          <w:lang w:val="en-US"/>
        </w:rPr>
        <w:t xml:space="preserve"> and </w:t>
      </w:r>
      <w:r>
        <w:rPr>
          <w:rStyle w:val="11"/>
          <w:rFonts w:hint="default" w:ascii="Times New Roman" w:hAnsi="Times New Roman" w:cs="Times New Roman"/>
          <w:sz w:val="24"/>
          <w:szCs w:val="24"/>
          <w:lang w:val="en-US"/>
        </w:rPr>
        <w:t>E. faecium</w:t>
      </w:r>
      <w:r>
        <w:rPr>
          <w:rFonts w:hint="default" w:ascii="Times New Roman" w:hAnsi="Times New Roman" w:cs="Times New Roman"/>
          <w:sz w:val="24"/>
          <w:szCs w:val="24"/>
          <w:lang w:val="en-US"/>
        </w:rPr>
        <w:t xml:space="preserve"> (means of ~0.43); higher GDP and health expenditure were correlated with lower predicted resistance, consistent with Laxminarayan et al.²². Overall, 66.9% of inferences fell above the 20% actionability threshold.</w:t>
      </w:r>
    </w:p>
    <w:p w14:paraId="4725FEBC">
      <w:pPr>
        <w:pStyle w:val="13"/>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4.2 Implications</w:t>
      </w:r>
    </w:p>
    <w:p w14:paraId="0F42EED9">
      <w:pPr>
        <w:pStyle w:val="13"/>
        <w:rPr>
          <w:rFonts w:hint="default" w:ascii="Times New Roman" w:hAnsi="Times New Roman" w:cs="Times New Roman"/>
          <w:sz w:val="24"/>
          <w:szCs w:val="24"/>
          <w:lang w:val="en-US"/>
        </w:rPr>
      </w:pPr>
      <w:r>
        <w:rPr>
          <w:rFonts w:hint="default" w:ascii="Times New Roman" w:hAnsi="Times New Roman" w:cs="Times New Roman"/>
          <w:sz w:val="24"/>
          <w:szCs w:val="24"/>
          <w:lang w:val="en-US"/>
        </w:rPr>
        <w:t>Most countries without isolate-level AMR surveillance possess countrywide data and antibiotic consumption knowledge; for those that lack such resources, a viable precedent exists to help prioritise scarce AMR surveillance resources in the interim. A health system may, however, obtain a ranked, organism-specific risk rating that will help determine pathogen–antibiotic combinations that need to be initially confirmed. This decoupling of resistance levels (intrinsic resistance and absolute resistance) explains why resistance ranking can be transferred even without calibration: discrimination alone can be transferred across borders without calibration.</w:t>
      </w:r>
    </w:p>
    <w:p w14:paraId="3361D64A">
      <w:pPr>
        <w:pStyle w:val="13"/>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4.3 Model Selection</w:t>
      </w:r>
    </w:p>
    <w:p w14:paraId="4482D6AA">
      <w:pPr>
        <w:pStyle w:val="13"/>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The selection was accomplished on a clinical rather than a statistical basis. </w:t>
      </w:r>
      <w:r>
        <w:rPr>
          <w:rFonts w:hint="default" w:ascii="Times New Roman" w:hAnsi="Times New Roman" w:eastAsia="Segoe UI" w:cs="Times New Roman"/>
          <w:sz w:val="24"/>
          <w:szCs w:val="24"/>
          <w:shd w:val="clear" w:color="auto" w:fill="FFFFFF"/>
          <w:lang w:val="en-US"/>
        </w:rPr>
        <w:t>Although LightGBM had a slightly higher AUC than CatBoost (0.851 vs 0.849), the absolute difference was clinically negligible. The DeLong test identified this small difference as statistically significant because of the multi-million-row sample size. Model selection therefore followed the pre-specified clinical operating criterion, Recall@0.2, where CatBoost was higher (0.797 vs 0.782).</w:t>
      </w:r>
      <w:r>
        <w:rPr>
          <w:rFonts w:hint="default" w:ascii="Times New Roman" w:hAnsi="Times New Roman" w:cs="Times New Roman"/>
          <w:sz w:val="24"/>
          <w:szCs w:val="24"/>
          <w:lang w:val="en-US"/>
        </w:rPr>
        <w:t xml:space="preserve"> With isotonic calibration, the value of ECE was lowered to 0.012, which is not significantly different from its previous value²³, and the 20% limit is very much in line with previous stewardship efforts.</w:t>
      </w:r>
    </w:p>
    <w:p w14:paraId="77909B2B">
      <w:pPr>
        <w:pStyle w:val="13"/>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4.4 Applications and Potential Research Directions</w:t>
      </w:r>
    </w:p>
    <w:p w14:paraId="51B3855E">
      <w:pPr>
        <w:pStyle w:val="13"/>
        <w:rPr>
          <w:rFonts w:hint="default" w:ascii="Times New Roman" w:hAnsi="Times New Roman" w:cs="Times New Roman"/>
          <w:sz w:val="24"/>
          <w:szCs w:val="24"/>
          <w:lang w:val="en-US"/>
        </w:rPr>
      </w:pPr>
      <w:r>
        <w:rPr>
          <w:rFonts w:hint="default" w:ascii="Times New Roman" w:hAnsi="Times New Roman" w:cs="Times New Roman"/>
          <w:sz w:val="24"/>
          <w:szCs w:val="24"/>
          <w:lang w:val="en-US"/>
        </w:rPr>
        <w:t>Most previous AMR prediction algorithms rely on genome sequencing²⁴ or on local surveillance⁵; thus, they may not be available in settings lacking surveillance or sequencing. In this method, only macro-proxy data are used to predict resistance rates for all six priority pathogens using no locally isolated pathogens. The AUC achieved by its hold-out data of 0.849 is very close to per-drug genomic AUC models (0.83–0.94)²⁵ and species-specific MALDI-TOF models (0.81–0.85)²⁶ and better than EHR machine-learning-based patient-specific AUC models (0.80)²⁷ — notable given that, unlike those approaches, the present method uses no local, genomic, or patient-level data. A higher AUC of 0.96 has been reported for a cross-country XGBoost model²⁸ on this same database, but under a different evaluation setup rather than the fully data-free, target-excluded design used here.</w:t>
      </w:r>
    </w:p>
    <w:p w14:paraId="5F85F44E">
      <w:pPr>
        <w:pStyle w:val="13"/>
        <w:rPr>
          <w:rFonts w:hint="default" w:ascii="Times New Roman" w:hAnsi="Times New Roman" w:cs="Times New Roman"/>
          <w:sz w:val="24"/>
          <w:szCs w:val="24"/>
          <w:lang w:val="en-US"/>
        </w:rPr>
      </w:pPr>
      <w:r>
        <w:rPr>
          <w:rStyle w:val="14"/>
          <w:rFonts w:hint="default" w:ascii="Times New Roman" w:hAnsi="Times New Roman" w:cs="Times New Roman"/>
          <w:sz w:val="24"/>
          <w:szCs w:val="24"/>
          <w:lang w:val="en-US"/>
        </w:rPr>
        <w:t>4.5 Kazakhstan Inferences and Face Validity</w:t>
      </w:r>
    </w:p>
    <w:p w14:paraId="540FE927">
      <w:pPr>
        <w:pStyle w:val="13"/>
        <w:rPr>
          <w:rStyle w:val="26"/>
          <w:rFonts w:hint="default" w:ascii="Times New Roman" w:hAnsi="Times New Roman" w:cs="Times New Roman"/>
          <w:sz w:val="24"/>
          <w:szCs w:val="24"/>
          <w:lang w:val="kk-KZ"/>
        </w:rPr>
      </w:pPr>
      <w:r>
        <w:rPr>
          <w:rFonts w:hint="default" w:ascii="Times New Roman" w:hAnsi="Times New Roman" w:cs="Times New Roman"/>
          <w:sz w:val="24"/>
          <w:szCs w:val="24"/>
          <w:lang w:val="en-US"/>
        </w:rPr>
        <w:t xml:space="preserve">Broken down by antibiotic class, predicted resistance was dominated by penicillins, reflecting the intrinsic ampicillin resistance of </w:t>
      </w:r>
      <w:r>
        <w:rPr>
          <w:rStyle w:val="11"/>
          <w:rFonts w:hint="default" w:ascii="Times New Roman" w:hAnsi="Times New Roman" w:cs="Times New Roman"/>
          <w:sz w:val="24"/>
          <w:szCs w:val="24"/>
          <w:lang w:val="en-US"/>
        </w:rPr>
        <w:t>K. pneumoniae</w:t>
      </w:r>
      <w:r>
        <w:rPr>
          <w:rFonts w:hint="default" w:ascii="Times New Roman" w:hAnsi="Times New Roman" w:cs="Times New Roman"/>
          <w:sz w:val="24"/>
          <w:szCs w:val="24"/>
          <w:lang w:val="en-US"/>
        </w:rPr>
        <w:t xml:space="preserve"> and </w:t>
      </w:r>
      <w:r>
        <w:rPr>
          <w:rStyle w:val="11"/>
          <w:rFonts w:hint="default" w:ascii="Times New Roman" w:hAnsi="Times New Roman" w:cs="Times New Roman"/>
          <w:sz w:val="24"/>
          <w:szCs w:val="24"/>
          <w:lang w:val="en-US"/>
        </w:rPr>
        <w:t>E. faecium</w:t>
      </w:r>
      <w:r>
        <w:rPr>
          <w:rFonts w:hint="default" w:ascii="Times New Roman" w:hAnsi="Times New Roman" w:cs="Times New Roman"/>
          <w:sz w:val="24"/>
          <w:szCs w:val="24"/>
          <w:lang w:val="en-US"/>
        </w:rPr>
        <w:t xml:space="preserve"> — a pattern the model recovered without any local data, supporting its face validity. Among the remaining classes, cephalosporins were highest for </w:t>
      </w:r>
      <w:r>
        <w:rPr>
          <w:rStyle w:val="11"/>
          <w:rFonts w:hint="default" w:ascii="Times New Roman" w:hAnsi="Times New Roman" w:cs="Times New Roman"/>
          <w:sz w:val="24"/>
          <w:szCs w:val="24"/>
          <w:lang w:val="en-US"/>
        </w:rPr>
        <w:t>A. baumannii</w:t>
      </w:r>
      <w:r>
        <w:rPr>
          <w:rFonts w:hint="default" w:ascii="Times New Roman" w:hAnsi="Times New Roman" w:cs="Times New Roman"/>
          <w:sz w:val="24"/>
          <w:szCs w:val="24"/>
          <w:lang w:val="en-US"/>
        </w:rPr>
        <w:t xml:space="preserve"> and </w:t>
      </w:r>
      <w:r>
        <w:rPr>
          <w:rStyle w:val="11"/>
          <w:rFonts w:hint="default" w:ascii="Times New Roman" w:hAnsi="Times New Roman" w:cs="Times New Roman"/>
          <w:sz w:val="24"/>
          <w:szCs w:val="24"/>
          <w:lang w:val="en-US"/>
        </w:rPr>
        <w:t>K. pneumoniae</w:t>
      </w:r>
      <w:r>
        <w:rPr>
          <w:rFonts w:hint="default" w:ascii="Times New Roman" w:hAnsi="Times New Roman" w:cs="Times New Roman"/>
          <w:sz w:val="24"/>
          <w:szCs w:val="24"/>
          <w:lang w:val="en-US"/>
        </w:rPr>
        <w:t xml:space="preserve">, and fluoroquinolones for </w:t>
      </w:r>
      <w:r>
        <w:rPr>
          <w:rStyle w:val="11"/>
          <w:rFonts w:hint="default" w:ascii="Times New Roman" w:hAnsi="Times New Roman" w:cs="Times New Roman"/>
          <w:sz w:val="24"/>
          <w:szCs w:val="24"/>
          <w:lang w:val="en-US"/>
        </w:rPr>
        <w:t>E. faecium</w:t>
      </w:r>
      <w:r>
        <w:rPr>
          <w:rFonts w:hint="default" w:ascii="Times New Roman" w:hAnsi="Times New Roman" w:cs="Times New Roman"/>
          <w:sz w:val="24"/>
          <w:szCs w:val="24"/>
          <w:lang w:val="en-US"/>
        </w:rPr>
        <w:t xml:space="preserve">. With four combinations of </w:t>
      </w:r>
      <w:r>
        <w:rPr>
          <w:rStyle w:val="11"/>
          <w:rFonts w:hint="default" w:ascii="Times New Roman" w:hAnsi="Times New Roman" w:cs="Times New Roman"/>
          <w:sz w:val="24"/>
          <w:szCs w:val="24"/>
          <w:lang w:val="en-US"/>
        </w:rPr>
        <w:t>A. baumannii</w:t>
      </w:r>
      <w:r>
        <w:rPr>
          <w:rFonts w:hint="default" w:ascii="Times New Roman" w:hAnsi="Times New Roman" w:cs="Times New Roman"/>
          <w:sz w:val="24"/>
          <w:szCs w:val="24"/>
          <w:lang w:val="en-US"/>
        </w:rPr>
        <w:t xml:space="preserve"> from a single cohort (Karaganda; Table 6), absolute probabilities range from 15 to 26 percentage points off, allowing the model to confidently identify </w:t>
      </w:r>
      <w:r>
        <w:rPr>
          <w:rStyle w:val="11"/>
          <w:rFonts w:hint="default" w:ascii="Times New Roman" w:hAnsi="Times New Roman" w:cs="Times New Roman"/>
          <w:sz w:val="24"/>
          <w:szCs w:val="24"/>
          <w:lang w:val="en-US"/>
        </w:rPr>
        <w:t>A. baumannii</w:t>
      </w:r>
      <w:r>
        <w:rPr>
          <w:rFonts w:hint="default" w:ascii="Times New Roman" w:hAnsi="Times New Roman" w:cs="Times New Roman"/>
          <w:sz w:val="24"/>
          <w:szCs w:val="24"/>
          <w:lang w:val="en-US"/>
        </w:rPr>
        <w:t xml:space="preserve"> as high-risk (all predicted &gt;70%), yet demonstrating the difference in absolute probabilities in a higher-acuity subpopulation of hospitalized patients. </w:t>
      </w:r>
      <w:r>
        <w:rPr>
          <w:rStyle w:val="26"/>
          <w:rFonts w:hint="default" w:ascii="Times New Roman" w:hAnsi="Times New Roman" w:cs="Times New Roman"/>
          <w:sz w:val="24"/>
          <w:szCs w:val="24"/>
          <w:lang w:val="en-US"/>
        </w:rPr>
        <w:t>The comparison is suggestive, which is not the same as confirmation.</w:t>
      </w:r>
      <w:bookmarkStart w:id="0" w:name="_cay9blk0svag" w:colFirst="0" w:colLast="0"/>
      <w:bookmarkEnd w:id="0"/>
    </w:p>
    <w:p w14:paraId="3BE66D6E">
      <w:pPr>
        <w:pStyle w:val="28"/>
        <w:shd w:val="clear" w:color="auto" w:fill="FFFFFF"/>
        <w:spacing w:before="240" w:beforeAutospacing="0" w:after="240" w:afterAutospacing="0"/>
        <w:rPr>
          <w:rFonts w:hint="default" w:ascii="Times New Roman" w:hAnsi="Times New Roman" w:cs="Times New Roman"/>
          <w:color w:val="0F1115"/>
          <w:sz w:val="24"/>
          <w:szCs w:val="24"/>
          <w:lang w:val="en-US"/>
        </w:rPr>
      </w:pPr>
      <w:r>
        <w:rPr>
          <w:rStyle w:val="14"/>
          <w:rFonts w:hint="default" w:ascii="Times New Roman" w:hAnsi="Times New Roman" w:cs="Times New Roman"/>
          <w:color w:val="0F1115"/>
          <w:sz w:val="24"/>
          <w:szCs w:val="24"/>
          <w:lang w:val="en-US"/>
        </w:rPr>
        <w:t>4.6 Limitations</w:t>
      </w:r>
    </w:p>
    <w:p w14:paraId="552B446C">
      <w:pPr>
        <w:pStyle w:val="28"/>
        <w:shd w:val="clear" w:color="auto" w:fill="FFFFFF"/>
        <w:spacing w:before="240" w:beforeAutospacing="0" w:after="240" w:afterAutospacing="0"/>
        <w:rPr>
          <w:rFonts w:hint="default" w:ascii="Times New Roman" w:hAnsi="Times New Roman" w:cs="Times New Roman"/>
          <w:color w:val="0F1115"/>
          <w:sz w:val="24"/>
          <w:szCs w:val="24"/>
          <w:lang w:val="en-US"/>
        </w:rPr>
      </w:pPr>
      <w:r>
        <w:rPr>
          <w:rFonts w:hint="default" w:ascii="Times New Roman" w:hAnsi="Times New Roman" w:cs="Times New Roman"/>
          <w:color w:val="0F1115"/>
          <w:sz w:val="24"/>
          <w:szCs w:val="24"/>
          <w:lang w:val="en-US"/>
        </w:rPr>
        <w:t>The main drawback is the absence of the country's isolate-level information for training and testing the model. The preliminary results presented for Kazakhstan will be further validated with subsequent data. Not all partially resistant isolates were represented, and some of the antimicrobial medicines used more broadly in the area were not represented. The data in this section are primarily from high-income groups, and absolute probabilities should be applied with caution and should not be used as an absolute measure of the validity of the prediction; the confidence intervals in Table 5 are based on prediction consistency, not on an absolute measure of the accuracy of the predictions. The upward temporal trend predictions (signals for hypothesis generation) are based on a small number of annual observations (7 per organism) and are only significant under Benjamini–Hochberg correction (pBH = 0.049) and not under Bonferroni correction. Finally, the hyperparameters were tuned on the full dataset instead of on each fold, meaning that this could lead to overestimation of the LOCO-AUC, but no single country accounts for more than 5% of any fold²⁹.</w:t>
      </w:r>
    </w:p>
    <w:p w14:paraId="3F2675F8">
      <w:pPr>
        <w:pStyle w:val="28"/>
        <w:shd w:val="clear" w:color="auto" w:fill="FFFFFF"/>
        <w:spacing w:before="240" w:beforeAutospacing="0" w:after="240" w:afterAutospacing="0"/>
        <w:rPr>
          <w:rFonts w:hint="default" w:ascii="Times New Roman" w:hAnsi="Times New Roman" w:cs="Times New Roman"/>
          <w:color w:val="0F1115"/>
          <w:sz w:val="24"/>
          <w:szCs w:val="24"/>
          <w:lang w:val="en-US"/>
        </w:rPr>
      </w:pPr>
      <w:r>
        <w:rPr>
          <w:rStyle w:val="14"/>
          <w:rFonts w:hint="default" w:ascii="Times New Roman" w:hAnsi="Times New Roman" w:cs="Times New Roman"/>
          <w:color w:val="0F1115"/>
          <w:sz w:val="24"/>
          <w:szCs w:val="24"/>
          <w:lang w:val="en-US"/>
        </w:rPr>
        <w:t>4.7 Future Directions</w:t>
      </w:r>
    </w:p>
    <w:p w14:paraId="658FC084">
      <w:pPr>
        <w:pStyle w:val="28"/>
        <w:shd w:val="clear" w:color="auto" w:fill="FFFFFF"/>
        <w:spacing w:before="240" w:beforeAutospacing="0" w:after="240" w:afterAutospacing="0"/>
        <w:rPr>
          <w:rFonts w:hint="default" w:ascii="Times New Roman" w:hAnsi="Times New Roman" w:cs="Times New Roman"/>
          <w:color w:val="0F1115"/>
          <w:sz w:val="24"/>
          <w:szCs w:val="24"/>
          <w:lang w:val="en-US"/>
        </w:rPr>
      </w:pPr>
      <w:r>
        <w:rPr>
          <w:rFonts w:hint="default" w:ascii="Times New Roman" w:hAnsi="Times New Roman" w:cs="Times New Roman"/>
          <w:color w:val="0F1115"/>
          <w:sz w:val="24"/>
          <w:szCs w:val="24"/>
          <w:lang w:val="en-US"/>
        </w:rPr>
        <w:t>An immediate validation of 100–200 local isolates of the high-risk species </w:t>
      </w:r>
      <w:r>
        <w:rPr>
          <w:rStyle w:val="11"/>
          <w:rFonts w:hint="default" w:ascii="Times New Roman" w:hAnsi="Times New Roman" w:cs="Times New Roman"/>
          <w:color w:val="0F1115"/>
          <w:sz w:val="24"/>
          <w:szCs w:val="24"/>
          <w:lang w:val="en-US"/>
        </w:rPr>
        <w:t>A. baumannii</w:t>
      </w:r>
      <w:r>
        <w:rPr>
          <w:rFonts w:hint="default" w:ascii="Times New Roman" w:hAnsi="Times New Roman" w:cs="Times New Roman"/>
          <w:color w:val="0F1115"/>
          <w:sz w:val="24"/>
          <w:szCs w:val="24"/>
          <w:lang w:val="en-US"/>
        </w:rPr>
        <w:t>, </w:t>
      </w:r>
      <w:r>
        <w:rPr>
          <w:rStyle w:val="11"/>
          <w:rFonts w:hint="default" w:ascii="Times New Roman" w:hAnsi="Times New Roman" w:cs="Times New Roman"/>
          <w:color w:val="0F1115"/>
          <w:sz w:val="24"/>
          <w:szCs w:val="24"/>
          <w:lang w:val="en-US"/>
        </w:rPr>
        <w:t>K. pneumoniae</w:t>
      </w:r>
      <w:r>
        <w:rPr>
          <w:rFonts w:hint="default" w:ascii="Times New Roman" w:hAnsi="Times New Roman" w:cs="Times New Roman"/>
          <w:color w:val="0F1115"/>
          <w:sz w:val="24"/>
          <w:szCs w:val="24"/>
          <w:lang w:val="en-US"/>
        </w:rPr>
        <w:t>, and </w:t>
      </w:r>
      <w:r>
        <w:rPr>
          <w:rStyle w:val="11"/>
          <w:rFonts w:hint="default" w:ascii="Times New Roman" w:hAnsi="Times New Roman" w:cs="Times New Roman"/>
          <w:color w:val="0F1115"/>
          <w:sz w:val="24"/>
          <w:szCs w:val="24"/>
          <w:lang w:val="en-US"/>
        </w:rPr>
        <w:t>E. faecium</w:t>
      </w:r>
      <w:r>
        <w:rPr>
          <w:rFonts w:hint="default" w:ascii="Times New Roman" w:hAnsi="Times New Roman" w:cs="Times New Roman"/>
          <w:color w:val="0F1115"/>
          <w:sz w:val="24"/>
          <w:szCs w:val="24"/>
          <w:lang w:val="en-US"/>
        </w:rPr>
        <w:t> will be carried out to compare observed resistance with the model's estimates, with the agreement band tightened to ±10%, compared to the larger band of ±25% used in the retrospective validation. The framework can be extended, not only to additional sectors that have good national statistical coverage such as much of Central Asia, sub-Saharan Africa, and Southeast Asia, but also to other areas more broadly.</w:t>
      </w:r>
    </w:p>
    <w:p w14:paraId="2270F8AF">
      <w:pPr>
        <w:pStyle w:val="28"/>
        <w:numPr>
          <w:ilvl w:val="0"/>
          <w:numId w:val="2"/>
        </w:numPr>
        <w:shd w:val="clear" w:color="auto" w:fill="FFFFFF"/>
        <w:spacing w:before="240" w:beforeAutospacing="0" w:after="240" w:afterAutospacing="0"/>
        <w:rPr>
          <w:rFonts w:hint="default" w:ascii="Times New Roman" w:hAnsi="Times New Roman" w:cs="Times New Roman"/>
          <w:color w:val="0F1115"/>
          <w:sz w:val="24"/>
          <w:szCs w:val="24"/>
          <w:lang w:val="en-US"/>
        </w:rPr>
      </w:pPr>
      <w:r>
        <w:rPr>
          <w:rStyle w:val="14"/>
          <w:rFonts w:hint="default" w:ascii="Times New Roman" w:hAnsi="Times New Roman" w:cs="Times New Roman"/>
          <w:color w:val="0F1115"/>
          <w:sz w:val="24"/>
          <w:szCs w:val="24"/>
          <w:lang w:val="en-US"/>
        </w:rPr>
        <w:t>Conclusion</w:t>
      </w:r>
    </w:p>
    <w:p w14:paraId="0C3F1BDE">
      <w:pPr>
        <w:pStyle w:val="28"/>
        <w:shd w:val="clear" w:color="auto" w:fill="FFFFFF"/>
        <w:spacing w:before="240" w:beforeAutospacing="0"/>
        <w:rPr>
          <w:rFonts w:hint="default" w:ascii="Times New Roman" w:hAnsi="Times New Roman" w:cs="Times New Roman"/>
          <w:color w:val="0F1115"/>
          <w:sz w:val="24"/>
          <w:szCs w:val="24"/>
          <w:lang w:val="en-US"/>
        </w:rPr>
      </w:pPr>
      <w:r>
        <w:rPr>
          <w:rFonts w:hint="default" w:ascii="Times New Roman" w:hAnsi="Times New Roman" w:cs="Times New Roman"/>
          <w:color w:val="0F1115"/>
          <w:sz w:val="24"/>
          <w:szCs w:val="24"/>
          <w:lang w:val="en-US"/>
        </w:rPr>
        <w:t>Given that we had no information about antimicrobial resistance (AMR) in Kazakhstan, we used a methodology that relies on non-genetic information, namely, a cross-country approach using only probabilities calculated based on global information on AM resistance, antibiotic usage, and macro-economics. CatBoost showed the highest performance with 11.3 million susceptibility results from 1.08 million isolates from 85 countries studied, with an AUC of 0.849, an AUPRC of 0.650, and a recall of 0.797—the most important pathogens in Kazakhstan being </w:t>
      </w:r>
      <w:r>
        <w:rPr>
          <w:rStyle w:val="11"/>
          <w:rFonts w:hint="default" w:ascii="Times New Roman" w:hAnsi="Times New Roman" w:cs="Times New Roman"/>
          <w:color w:val="0F1115"/>
          <w:sz w:val="24"/>
          <w:szCs w:val="24"/>
          <w:lang w:val="en-US"/>
        </w:rPr>
        <w:t>A. baumannii</w:t>
      </w:r>
      <w:r>
        <w:rPr>
          <w:rFonts w:hint="default" w:ascii="Times New Roman" w:hAnsi="Times New Roman" w:cs="Times New Roman"/>
          <w:color w:val="0F1115"/>
          <w:sz w:val="24"/>
          <w:szCs w:val="24"/>
          <w:lang w:val="en-US"/>
        </w:rPr>
        <w:t>, </w:t>
      </w:r>
      <w:r>
        <w:rPr>
          <w:rStyle w:val="11"/>
          <w:rFonts w:hint="default" w:ascii="Times New Roman" w:hAnsi="Times New Roman" w:cs="Times New Roman"/>
          <w:color w:val="0F1115"/>
          <w:sz w:val="24"/>
          <w:szCs w:val="24"/>
          <w:lang w:val="en-US"/>
        </w:rPr>
        <w:t>K. pneumoniae</w:t>
      </w:r>
      <w:r>
        <w:rPr>
          <w:rFonts w:hint="default" w:ascii="Times New Roman" w:hAnsi="Times New Roman" w:cs="Times New Roman"/>
          <w:color w:val="0F1115"/>
          <w:sz w:val="24"/>
          <w:szCs w:val="24"/>
          <w:lang w:val="en-US"/>
        </w:rPr>
        <w:t>, and </w:t>
      </w:r>
      <w:r>
        <w:rPr>
          <w:rStyle w:val="11"/>
          <w:rFonts w:hint="default" w:ascii="Times New Roman" w:hAnsi="Times New Roman" w:cs="Times New Roman"/>
          <w:color w:val="0F1115"/>
          <w:sz w:val="24"/>
          <w:szCs w:val="24"/>
          <w:lang w:val="en-US"/>
        </w:rPr>
        <w:t>E. faecium</w:t>
      </w:r>
      <w:r>
        <w:rPr>
          <w:rFonts w:hint="default" w:ascii="Times New Roman" w:hAnsi="Times New Roman" w:cs="Times New Roman"/>
          <w:color w:val="0F1115"/>
          <w:sz w:val="24"/>
          <w:szCs w:val="24"/>
          <w:lang w:val="en-US"/>
        </w:rPr>
        <w:t>. The framework is meant to be used as a screening tool to generate hypotheses, not replace laboratory surveillance, and is designed to prioritize which combinations to validate first. Prediction does not need to be absent: when surveillance is missing, global information can be used as a provisional map of resistance risk to identify where to take the first local samples.</w:t>
      </w:r>
    </w:p>
    <w:p w14:paraId="57719E97">
      <w:pPr>
        <w:spacing w:before="240" w:after="240" w:line="240" w:lineRule="auto"/>
        <w:rPr>
          <w:rFonts w:hint="default" w:ascii="Times New Roman" w:hAnsi="Times New Roman" w:eastAsia="Times New Roman" w:cs="Times New Roman"/>
          <w:bCs/>
          <w:sz w:val="24"/>
          <w:szCs w:val="24"/>
          <w:highlight w:val="white"/>
        </w:rPr>
      </w:pPr>
      <w:r>
        <w:rPr>
          <w:rFonts w:hint="default" w:ascii="Times New Roman" w:hAnsi="Times New Roman" w:eastAsia="Times New Roman" w:cs="Times New Roman"/>
          <w:b/>
          <w:sz w:val="24"/>
          <w:szCs w:val="24"/>
          <w:highlight w:val="white"/>
        </w:rPr>
        <w:t>Acknowledgements</w:t>
      </w:r>
      <w:r>
        <w:rPr>
          <w:rFonts w:hint="default" w:ascii="Times New Roman" w:hAnsi="Times New Roman" w:eastAsia="Times New Roman" w:cs="Times New Roman"/>
          <w:bCs/>
          <w:sz w:val="24"/>
          <w:szCs w:val="24"/>
          <w:highlight w:val="white"/>
        </w:rPr>
        <w:t xml:space="preserve"> </w:t>
      </w:r>
    </w:p>
    <w:p w14:paraId="651FE6CC">
      <w:pPr>
        <w:spacing w:after="200"/>
        <w:rPr>
          <w:rFonts w:hint="default" w:ascii="Times New Roman" w:hAnsi="Times New Roman" w:eastAsia="Segoe UI" w:cs="Times New Roman"/>
          <w:i w:val="0"/>
          <w:iCs w:val="0"/>
          <w:caps w:val="0"/>
          <w:color w:val="1F2328"/>
          <w:spacing w:val="0"/>
          <w:sz w:val="24"/>
          <w:szCs w:val="24"/>
          <w:shd w:val="clear" w:fill="FFFFFF"/>
        </w:rPr>
      </w:pPr>
      <w:r>
        <w:rPr>
          <w:rFonts w:hint="default" w:ascii="Times New Roman" w:hAnsi="Times New Roman" w:eastAsia="Segoe UI" w:cs="Times New Roman"/>
          <w:i w:val="0"/>
          <w:iCs w:val="0"/>
          <w:caps w:val="0"/>
          <w:color w:val="1F2328"/>
          <w:spacing w:val="0"/>
          <w:sz w:val="24"/>
          <w:szCs w:val="24"/>
          <w:shd w:val="clear" w:fill="FFFFFF"/>
        </w:rPr>
        <w:t>The author thanks S. Kazi, PhD for valuable suggestions on the presentation of this work. Ethical review was provided by Assistant Professor Dauren Ayazbayev (SDU University). The author acknowledges Vivli for facilitating access to the ATLAS, SIDERO-WT, and KEYSTONE databases.</w:t>
      </w:r>
    </w:p>
    <w:p w14:paraId="195FB62B">
      <w:pPr>
        <w:rPr>
          <w:rFonts w:hint="default" w:ascii="Times New Roman" w:hAnsi="Times New Roman" w:eastAsia="SimSun" w:cs="Times New Roman"/>
          <w:sz w:val="24"/>
          <w:szCs w:val="24"/>
          <w:lang w:val="ru-RU"/>
        </w:rPr>
      </w:pPr>
      <w:r>
        <w:rPr>
          <w:rStyle w:val="14"/>
          <w:rFonts w:hint="default" w:ascii="Times New Roman" w:hAnsi="Times New Roman" w:eastAsia="SimSun" w:cs="Times New Roman"/>
          <w:sz w:val="24"/>
          <w:szCs w:val="24"/>
        </w:rPr>
        <w:t>Author Contributions:</w:t>
      </w:r>
      <w:r>
        <w:rPr>
          <w:rFonts w:hint="default" w:ascii="Times New Roman" w:hAnsi="Times New Roman" w:eastAsia="SimSun" w:cs="Times New Roman"/>
          <w:sz w:val="24"/>
          <w:szCs w:val="24"/>
        </w:rPr>
        <w:t xml:space="preserve"> Conceptualization, U.A. and A.D.; methodology, U.A. and S.K.; software, U.A.; validation, U.A., A.D. and S.K.; formal analysis, U.A.; investigation, U.A.; data curation, U.A.;</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writing A.D. and S.K.; visualization, U.A.; supervision, S.K. All authors have read and agreed to the published version of the manuscript.</w:t>
      </w:r>
    </w:p>
    <w:p w14:paraId="74B71C93">
      <w:pPr>
        <w:rPr>
          <w:rFonts w:hint="default"/>
          <w:highlight w:val="none"/>
          <w:lang w:val="ru-RU"/>
        </w:rPr>
      </w:pPr>
      <w:r>
        <w:rPr>
          <w:rFonts w:ascii="Times New Roman" w:hAnsi="Times New Roman"/>
          <w:b/>
          <w:sz w:val="24"/>
          <w:highlight w:val="none"/>
        </w:rPr>
        <w:t xml:space="preserve">Funding: </w:t>
      </w:r>
      <w:r>
        <w:rPr>
          <w:rFonts w:ascii="Times New Roman" w:hAnsi="Times New Roman"/>
          <w:b w:val="0"/>
          <w:sz w:val="24"/>
          <w:highlight w:val="none"/>
        </w:rPr>
        <w:t>This research received no external funding.</w:t>
      </w:r>
    </w:p>
    <w:p w14:paraId="618DEEAD">
      <w:r>
        <w:rPr>
          <w:rFonts w:ascii="Times New Roman" w:hAnsi="Times New Roman"/>
          <w:b/>
          <w:sz w:val="24"/>
        </w:rPr>
        <w:t xml:space="preserve">Conflicts of Interest: </w:t>
      </w:r>
      <w:r>
        <w:rPr>
          <w:rFonts w:ascii="Times New Roman" w:hAnsi="Times New Roman"/>
          <w:b w:val="0"/>
          <w:sz w:val="24"/>
        </w:rPr>
        <w:t>The authors declare no conflicts of interest.</w:t>
      </w:r>
      <w:bookmarkStart w:id="1" w:name="_GoBack"/>
      <w:bookmarkEnd w:id="1"/>
    </w:p>
    <w:p w14:paraId="374158A0">
      <w:pPr>
        <w:spacing w:before="120" w:after="160"/>
      </w:pPr>
      <w:r>
        <w:rPr>
          <w:rFonts w:ascii="Times New Roman" w:hAnsi="Times New Roman" w:eastAsia="Times New Roman" w:cs="Times New Roman"/>
          <w:b/>
          <w:bCs/>
          <w:sz w:val="24"/>
          <w:szCs w:val="24"/>
        </w:rPr>
        <w:t>References</w:t>
      </w:r>
    </w:p>
    <w:p w14:paraId="3D6BC708">
      <w:pPr>
        <w:pStyle w:val="29"/>
        <w:numPr>
          <w:ilvl w:val="0"/>
          <w:numId w:val="3"/>
        </w:numPr>
        <w:spacing w:after="120" w:line="240" w:lineRule="auto"/>
      </w:pPr>
      <w:r>
        <w:rPr>
          <w:rFonts w:ascii="Times New Roman" w:hAnsi="Times New Roman" w:eastAsia="Times New Roman" w:cs="Times New Roman"/>
          <w:sz w:val="24"/>
          <w:szCs w:val="24"/>
        </w:rPr>
        <w:t>GBD 2021 Antimicrobial Resistance Collaborators. Global burden of bacterial antimicrobial resistance 1990–2021: a systematic analysis with forecasts to 2050. The Lancet. 2024;404:1199–1226. https://doi.org/10.1016/S0140-6736(24)01867-1</w:t>
      </w:r>
    </w:p>
    <w:p w14:paraId="2CE3E000">
      <w:pPr>
        <w:pStyle w:val="29"/>
        <w:numPr>
          <w:ilvl w:val="0"/>
          <w:numId w:val="3"/>
        </w:numPr>
        <w:spacing w:after="120" w:line="240" w:lineRule="auto"/>
      </w:pPr>
      <w:r>
        <w:rPr>
          <w:rFonts w:ascii="Times New Roman" w:hAnsi="Times New Roman" w:eastAsia="Times New Roman" w:cs="Times New Roman"/>
          <w:sz w:val="24"/>
          <w:szCs w:val="24"/>
        </w:rPr>
        <w:t>O'Neill J. Tackling drug-resistant infections globally: final report and recommendations. The Review on Antimicrobial Resistance; 2016. Available from: https://amr-review.org/</w:t>
      </w:r>
    </w:p>
    <w:p w14:paraId="02010FA8">
      <w:pPr>
        <w:pStyle w:val="29"/>
        <w:numPr>
          <w:ilvl w:val="0"/>
          <w:numId w:val="3"/>
        </w:numPr>
        <w:spacing w:after="120" w:line="240" w:lineRule="auto"/>
      </w:pPr>
      <w:r>
        <w:rPr>
          <w:rFonts w:ascii="Times New Roman" w:hAnsi="Times New Roman" w:eastAsia="Times New Roman" w:cs="Times New Roman"/>
          <w:sz w:val="24"/>
          <w:szCs w:val="24"/>
        </w:rPr>
        <w:t>World Bank. Drug-resistant infections: a threat to our economic future. Washington, DC: World Bank; 2017. Available from: http://hdl.handle.net/10986/26707</w:t>
      </w:r>
    </w:p>
    <w:p w14:paraId="1E6380A5">
      <w:pPr>
        <w:pStyle w:val="29"/>
        <w:numPr>
          <w:ilvl w:val="0"/>
          <w:numId w:val="3"/>
        </w:numPr>
        <w:spacing w:after="120" w:line="240" w:lineRule="auto"/>
      </w:pPr>
      <w:r>
        <w:rPr>
          <w:rFonts w:ascii="Times New Roman" w:hAnsi="Times New Roman" w:eastAsia="Times New Roman" w:cs="Times New Roman"/>
          <w:sz w:val="24"/>
          <w:szCs w:val="24"/>
        </w:rPr>
        <w:t>Kosherova Z, Zhazykhbayeva D, Aimurziyeva A, Bayesheva D, Semenova Y. The implementation of antimicrobial consumption surveillance and stewardship in human healthcare in post-Soviet states: a systematic review. Antibiotics. 2025;14:749. https://doi.org/10.3390/antibiotics14080749</w:t>
      </w:r>
    </w:p>
    <w:p w14:paraId="3A9FB805">
      <w:pPr>
        <w:pStyle w:val="29"/>
        <w:numPr>
          <w:ilvl w:val="0"/>
          <w:numId w:val="3"/>
        </w:numPr>
        <w:spacing w:after="120" w:line="240" w:lineRule="auto"/>
      </w:pPr>
      <w:r>
        <w:rPr>
          <w:rFonts w:ascii="Times New Roman" w:hAnsi="Times New Roman" w:eastAsia="Times New Roman" w:cs="Times New Roman"/>
          <w:sz w:val="24"/>
          <w:szCs w:val="24"/>
        </w:rPr>
        <w:t>MacFadden DR, McGough SF, Fisman D, Santillana M, Brownstein JS. Antibiotic resistance increases with local temperature. Nature Climate Change. 2018;8:510–514. https://doi.org/10.1038/s41558-018-0161-6</w:t>
      </w:r>
    </w:p>
    <w:p w14:paraId="66D8E34D">
      <w:pPr>
        <w:pStyle w:val="29"/>
        <w:numPr>
          <w:ilvl w:val="0"/>
          <w:numId w:val="3"/>
        </w:numPr>
        <w:spacing w:after="120" w:line="240" w:lineRule="auto"/>
      </w:pPr>
      <w:r>
        <w:rPr>
          <w:rFonts w:ascii="Times New Roman" w:hAnsi="Times New Roman" w:eastAsia="Times New Roman" w:cs="Times New Roman"/>
          <w:sz w:val="24"/>
          <w:szCs w:val="24"/>
        </w:rPr>
        <w:t>Pfizer. ATLAS database. Vivli; 2023. Available from: https://vivli.org/</w:t>
      </w:r>
    </w:p>
    <w:p w14:paraId="00577E2C">
      <w:pPr>
        <w:pStyle w:val="29"/>
        <w:numPr>
          <w:ilvl w:val="0"/>
          <w:numId w:val="3"/>
        </w:numPr>
        <w:spacing w:after="120" w:line="240" w:lineRule="auto"/>
      </w:pPr>
      <w:r>
        <w:rPr>
          <w:rFonts w:ascii="Times New Roman" w:hAnsi="Times New Roman" w:eastAsia="Times New Roman" w:cs="Times New Roman"/>
          <w:sz w:val="24"/>
          <w:szCs w:val="24"/>
        </w:rPr>
        <w:t>Shionogi. SIDERO-WT database. Vivli; 2023. Available from: https://vivli.org/</w:t>
      </w:r>
    </w:p>
    <w:p w14:paraId="605A04B9">
      <w:pPr>
        <w:pStyle w:val="29"/>
        <w:numPr>
          <w:ilvl w:val="0"/>
          <w:numId w:val="3"/>
        </w:numPr>
        <w:spacing w:after="120" w:line="240" w:lineRule="auto"/>
      </w:pPr>
      <w:r>
        <w:rPr>
          <w:rFonts w:ascii="Times New Roman" w:hAnsi="Times New Roman" w:eastAsia="Times New Roman" w:cs="Times New Roman"/>
          <w:sz w:val="24"/>
          <w:szCs w:val="24"/>
        </w:rPr>
        <w:t>Paratek. KEYSTONE database. Vivli; 2023. Available from: https://vivli.org/</w:t>
      </w:r>
    </w:p>
    <w:p w14:paraId="7CC23845">
      <w:pPr>
        <w:pStyle w:val="29"/>
        <w:numPr>
          <w:ilvl w:val="0"/>
          <w:numId w:val="3"/>
        </w:numPr>
        <w:spacing w:after="120" w:line="240" w:lineRule="auto"/>
      </w:pPr>
      <w:r>
        <w:rPr>
          <w:rFonts w:ascii="Times New Roman" w:hAnsi="Times New Roman" w:eastAsia="Times New Roman" w:cs="Times New Roman"/>
          <w:sz w:val="24"/>
          <w:szCs w:val="24"/>
        </w:rPr>
        <w:t>Wang L, Chen H, Zhang Y, Tian Y, Hu X, Wu J, et al. Global antibiotic consumption and regional antimicrobial resistance, 2010–21: an analysis of pharmaceutical sales and antimicrobial resistance surveillance data. Lancet Global Health. 2025;13:e1880–e1891. https://doi.org/10.1016/S2214-109X(25)00308-0</w:t>
      </w:r>
    </w:p>
    <w:p w14:paraId="10E29CAC">
      <w:pPr>
        <w:pStyle w:val="29"/>
        <w:numPr>
          <w:ilvl w:val="0"/>
          <w:numId w:val="3"/>
        </w:numPr>
        <w:spacing w:after="120" w:line="240" w:lineRule="auto"/>
      </w:pPr>
      <w:r>
        <w:rPr>
          <w:rFonts w:ascii="Times New Roman" w:hAnsi="Times New Roman" w:eastAsia="Times New Roman" w:cs="Times New Roman"/>
          <w:sz w:val="24"/>
          <w:szCs w:val="24"/>
        </w:rPr>
        <w:t>Semenova Y, Yergaliyeva A, Aimurziyeva A, Manatova A, Kuntuganova A, Makalkina L, et al. A nationwide evaluation of antibiotic consumption in Kazakhstan from 2019 to 2023. Antibiotics. 2024;13:1123. https://doi.org/10.3390/antibiotics13121123</w:t>
      </w:r>
    </w:p>
    <w:p w14:paraId="6587DA84">
      <w:pPr>
        <w:pStyle w:val="29"/>
        <w:numPr>
          <w:ilvl w:val="0"/>
          <w:numId w:val="3"/>
        </w:numPr>
        <w:spacing w:after="120" w:line="240" w:lineRule="auto"/>
      </w:pPr>
      <w:r>
        <w:rPr>
          <w:rFonts w:ascii="Times New Roman" w:hAnsi="Times New Roman" w:eastAsia="Times New Roman" w:cs="Times New Roman"/>
          <w:sz w:val="24"/>
          <w:szCs w:val="24"/>
        </w:rPr>
        <w:t>Zhussupova G, Utepova D, Orazova G, Zhaldybayeva S, Skvirskaya G, Tossekbayev K. Evaluation of antibiotic use in Kazakhstan for the period 2017–2019 based on WHO Access, Watch and Reserve classification (AWaRe 2019). Antibiotics. 2021;10:58. https://doi.org/10.3390/antibiotics10010058</w:t>
      </w:r>
    </w:p>
    <w:p w14:paraId="0F0AE701">
      <w:pPr>
        <w:pStyle w:val="29"/>
        <w:numPr>
          <w:ilvl w:val="0"/>
          <w:numId w:val="3"/>
        </w:numPr>
        <w:spacing w:after="120" w:line="240" w:lineRule="auto"/>
      </w:pPr>
      <w:r>
        <w:rPr>
          <w:rFonts w:ascii="Times New Roman" w:hAnsi="Times New Roman" w:eastAsia="Times New Roman" w:cs="Times New Roman"/>
          <w:sz w:val="24"/>
          <w:szCs w:val="24"/>
        </w:rPr>
        <w:t>Kassym L, Kussainova A, Semenov D, Aimurziyeva A, Uzbekova S, Semenova Y. National trends in azithromycin consumption during 2017–2023 in Kazakhstan: impact of the COVID-19 pandemic and the imperative for enhanced clinical guidelines. Scientific Reports. 2025;15:6309. https://doi.org/10.1038/s41598-025-91216-4</w:t>
      </w:r>
    </w:p>
    <w:p w14:paraId="31693520">
      <w:pPr>
        <w:pStyle w:val="29"/>
        <w:numPr>
          <w:ilvl w:val="0"/>
          <w:numId w:val="3"/>
        </w:numPr>
        <w:spacing w:after="120" w:line="240" w:lineRule="auto"/>
      </w:pPr>
      <w:r>
        <w:rPr>
          <w:rFonts w:ascii="Times New Roman" w:hAnsi="Times New Roman" w:eastAsia="Times New Roman" w:cs="Times New Roman"/>
          <w:sz w:val="24"/>
          <w:szCs w:val="24"/>
        </w:rPr>
        <w:t>Lim L, Kassym L, Kussainova A, Aubakirova B, Semenova Y, Jakupi A. Optimizing antibiotic stewardship and reducing antimicrobial resistance in Central Asia: a study protocol for evidence-based practice and policy. PLoS ONE. 2025;20:e0307784. https://doi.org/10.1371/journal.pone.0307784</w:t>
      </w:r>
    </w:p>
    <w:p w14:paraId="3F670F1C">
      <w:pPr>
        <w:pStyle w:val="29"/>
        <w:numPr>
          <w:ilvl w:val="0"/>
          <w:numId w:val="3"/>
        </w:numPr>
        <w:spacing w:after="120" w:line="240" w:lineRule="auto"/>
      </w:pPr>
      <w:r>
        <w:rPr>
          <w:rFonts w:ascii="Times New Roman" w:hAnsi="Times New Roman" w:eastAsia="Times New Roman" w:cs="Times New Roman"/>
          <w:sz w:val="24"/>
          <w:szCs w:val="24"/>
        </w:rPr>
        <w:t>World Bank. World Development Indicators [data set]. 2023. Available from: https://data.worldbank.org/</w:t>
      </w:r>
    </w:p>
    <w:p w14:paraId="3A460A7E">
      <w:pPr>
        <w:pStyle w:val="29"/>
        <w:numPr>
          <w:ilvl w:val="0"/>
          <w:numId w:val="3"/>
        </w:numPr>
        <w:spacing w:after="120" w:line="240" w:lineRule="auto"/>
      </w:pPr>
      <w:r>
        <w:rPr>
          <w:rFonts w:ascii="Times New Roman" w:hAnsi="Times New Roman" w:eastAsia="Times New Roman" w:cs="Times New Roman"/>
          <w:sz w:val="24"/>
          <w:szCs w:val="24"/>
        </w:rPr>
        <w:t>Our World in Data. Monthly average surface temperature [data set]. 2023. Available from: https://ourworldindata.org/grapher/average-monthly-surface-temperature</w:t>
      </w:r>
    </w:p>
    <w:p w14:paraId="06F74C10">
      <w:pPr>
        <w:pStyle w:val="29"/>
        <w:numPr>
          <w:ilvl w:val="0"/>
          <w:numId w:val="3"/>
        </w:numPr>
        <w:spacing w:after="120" w:line="240" w:lineRule="auto"/>
      </w:pPr>
      <w:r>
        <w:rPr>
          <w:rFonts w:ascii="Times New Roman" w:hAnsi="Times New Roman" w:eastAsia="Times New Roman" w:cs="Times New Roman"/>
          <w:sz w:val="24"/>
          <w:szCs w:val="24"/>
        </w:rPr>
        <w:t>World Health Organization. AWaRe classification of antibiotics. 2023. Available from: https://www.who.int/publications/i/item/WHO-MHP-HPS-EML-2023.04</w:t>
      </w:r>
    </w:p>
    <w:p w14:paraId="15AFE6E7">
      <w:pPr>
        <w:pStyle w:val="29"/>
        <w:numPr>
          <w:ilvl w:val="0"/>
          <w:numId w:val="3"/>
        </w:numPr>
        <w:spacing w:after="120" w:line="240" w:lineRule="auto"/>
      </w:pPr>
      <w:r>
        <w:rPr>
          <w:rFonts w:ascii="Times New Roman" w:hAnsi="Times New Roman" w:eastAsia="Times New Roman" w:cs="Times New Roman"/>
          <w:sz w:val="24"/>
          <w:szCs w:val="24"/>
        </w:rPr>
        <w:t>European Committee on Antimicrobial Susceptibility Testing. Breakpoint tables for interpretation of MICs and zone diameters, version 13.0. 2023. Available from: http://www.eucast.org</w:t>
      </w:r>
    </w:p>
    <w:p w14:paraId="69D2432B">
      <w:pPr>
        <w:pStyle w:val="29"/>
        <w:numPr>
          <w:ilvl w:val="0"/>
          <w:numId w:val="3"/>
        </w:numPr>
        <w:spacing w:after="120" w:line="240" w:lineRule="auto"/>
      </w:pPr>
      <w:r>
        <w:rPr>
          <w:rFonts w:ascii="Times New Roman" w:hAnsi="Times New Roman" w:eastAsia="Times New Roman" w:cs="Times New Roman"/>
          <w:sz w:val="24"/>
          <w:szCs w:val="24"/>
        </w:rPr>
        <w:t>He H, Garcia EA. Learning from imbalanced data. IEEE Transactions on Knowledge and Data Engineering. 2009;21:1263–1284. https://doi.org/10.1109/TKDE.2008.239</w:t>
      </w:r>
    </w:p>
    <w:p w14:paraId="7D0D898E">
      <w:pPr>
        <w:pStyle w:val="29"/>
        <w:numPr>
          <w:ilvl w:val="0"/>
          <w:numId w:val="3"/>
        </w:numPr>
        <w:spacing w:after="120" w:line="240" w:lineRule="auto"/>
      </w:pPr>
      <w:r>
        <w:rPr>
          <w:rFonts w:ascii="Times New Roman" w:hAnsi="Times New Roman" w:eastAsia="Times New Roman" w:cs="Times New Roman"/>
          <w:sz w:val="24"/>
          <w:szCs w:val="24"/>
        </w:rPr>
        <w:t>DeLong ER, DeLong DM, Clarke-Pearson DL. Comparing the areas under two or more correlated receiver operating characteristic curves: a nonparametric approach. Biometrics. 1988;44:837–845.</w:t>
      </w:r>
    </w:p>
    <w:p w14:paraId="4AB2B1E2">
      <w:pPr>
        <w:pStyle w:val="29"/>
        <w:numPr>
          <w:ilvl w:val="0"/>
          <w:numId w:val="3"/>
        </w:numPr>
        <w:spacing w:after="120" w:line="240" w:lineRule="auto"/>
      </w:pPr>
      <w:r>
        <w:rPr>
          <w:rFonts w:ascii="Times New Roman" w:hAnsi="Times New Roman" w:eastAsia="Times New Roman" w:cs="Times New Roman"/>
          <w:sz w:val="24"/>
          <w:szCs w:val="24"/>
        </w:rPr>
        <w:t>Lundberg SM, Lee SI. A unified approach to interpreting model predictions. Advances in Neural Information Processing Systems. 2017;30:4765–4774.</w:t>
      </w:r>
    </w:p>
    <w:p w14:paraId="69F5CD3F">
      <w:pPr>
        <w:pStyle w:val="29"/>
        <w:numPr>
          <w:ilvl w:val="0"/>
          <w:numId w:val="3"/>
        </w:numPr>
        <w:spacing w:after="120" w:line="240" w:lineRule="auto"/>
      </w:pPr>
      <w:r>
        <w:rPr>
          <w:rFonts w:ascii="Times New Roman" w:hAnsi="Times New Roman" w:eastAsia="Times New Roman" w:cs="Times New Roman"/>
          <w:sz w:val="24"/>
          <w:szCs w:val="24"/>
        </w:rPr>
        <w:t>Strochkov V, Beloussov V, Orkara S, Lavrinenko A, Solomadin M, Yegorov S, et al. Genomic characterization of multidrug-resistant Acinetobacter baumannii in pneumonia patients in Kazakhstan. Diagnostics. 2025;15:704. https://doi.org/10.3390/diagnostics15060704</w:t>
      </w:r>
    </w:p>
    <w:p w14:paraId="72892793">
      <w:pPr>
        <w:pStyle w:val="29"/>
        <w:numPr>
          <w:ilvl w:val="0"/>
          <w:numId w:val="3"/>
        </w:numPr>
        <w:spacing w:after="120" w:line="240" w:lineRule="auto"/>
      </w:pPr>
      <w:r>
        <w:rPr>
          <w:rFonts w:ascii="Times New Roman" w:hAnsi="Times New Roman" w:eastAsia="Times New Roman" w:cs="Times New Roman"/>
          <w:sz w:val="24"/>
          <w:szCs w:val="24"/>
        </w:rPr>
        <w:t>Laxminarayan R, Duse A, Wattal C, Zaidi AKM, Wertheim HFL, Sumpradit N, et al. Antibiotic resistance — the need for global solutions. The Lancet Infectious Diseases. 2013;13:1057–1098. https://doi.org/10.1016/S1473-3099(13)70318-9</w:t>
      </w:r>
    </w:p>
    <w:p w14:paraId="7179D141">
      <w:pPr>
        <w:pStyle w:val="29"/>
        <w:numPr>
          <w:ilvl w:val="0"/>
          <w:numId w:val="3"/>
        </w:numPr>
        <w:spacing w:after="120" w:line="240" w:lineRule="auto"/>
      </w:pPr>
      <w:r>
        <w:rPr>
          <w:rFonts w:ascii="Times New Roman" w:hAnsi="Times New Roman" w:eastAsia="Times New Roman" w:cs="Times New Roman"/>
          <w:sz w:val="24"/>
          <w:szCs w:val="24"/>
        </w:rPr>
        <w:t>Kollef MH, Shorr AF, Bassetti M, Timsit JF, Micek ST, Michelson AP, et al. Timing of antibiotic therapy in the ICU. Critical Care. 2021;25:360. https://doi.org/10.1186/s13054-021-03787-z</w:t>
      </w:r>
    </w:p>
    <w:p w14:paraId="0979068C">
      <w:pPr>
        <w:pStyle w:val="29"/>
        <w:numPr>
          <w:ilvl w:val="0"/>
          <w:numId w:val="3"/>
        </w:numPr>
        <w:spacing w:after="120" w:line="240" w:lineRule="auto"/>
      </w:pPr>
      <w:r>
        <w:rPr>
          <w:rFonts w:ascii="Times New Roman" w:hAnsi="Times New Roman" w:eastAsia="Times New Roman" w:cs="Times New Roman"/>
          <w:sz w:val="24"/>
          <w:szCs w:val="24"/>
        </w:rPr>
        <w:t>Drouin A, Letarte G, Raymond F, Marchand M, Corbeil J, Laviolette F. Interpretable genotype-to-phenotype classifiers with performance guarantees. Scientific Reports. 2019;9:4071. https://doi.org/10.1038/s41598-019-40561-2</w:t>
      </w:r>
    </w:p>
    <w:p w14:paraId="78FAE458">
      <w:pPr>
        <w:pStyle w:val="29"/>
        <w:numPr>
          <w:ilvl w:val="0"/>
          <w:numId w:val="3"/>
        </w:numPr>
        <w:spacing w:after="120" w:line="240" w:lineRule="auto"/>
      </w:pPr>
      <w:r>
        <w:rPr>
          <w:rFonts w:ascii="Times New Roman" w:hAnsi="Times New Roman" w:eastAsia="Times New Roman" w:cs="Times New Roman"/>
          <w:sz w:val="24"/>
          <w:szCs w:val="24"/>
        </w:rPr>
        <w:t>Aytan-Aktug D, Clausen PTLC, Bortolaia V, Aarestrup FM, Lund O. Prediction of acquired antimicrobial resistance for multiple bacterial species using neural networks. mSystems. 2020;5:e00774-19. https://doi.org/10.1128/mSystems.00774-19</w:t>
      </w:r>
    </w:p>
    <w:p w14:paraId="706EDBD8">
      <w:pPr>
        <w:pStyle w:val="29"/>
        <w:numPr>
          <w:ilvl w:val="0"/>
          <w:numId w:val="3"/>
        </w:numPr>
        <w:spacing w:after="120" w:line="240" w:lineRule="auto"/>
      </w:pPr>
      <w:r>
        <w:rPr>
          <w:rFonts w:ascii="Times New Roman" w:hAnsi="Times New Roman" w:eastAsia="Times New Roman" w:cs="Times New Roman"/>
          <w:sz w:val="24"/>
          <w:szCs w:val="24"/>
        </w:rPr>
        <w:t>Wiesmann N, Enders D, Westendorf A, Koch R, Schaumburg F. Prediction of antimicrobial resistance from MALDI-TOF mass spectra using machine learning: a validation study. Journal of Clinical Microbiology. 2025;63:e01186-25. https://doi.org/10.1128/jcm.01186-25</w:t>
      </w:r>
    </w:p>
    <w:p w14:paraId="275134DC">
      <w:pPr>
        <w:pStyle w:val="29"/>
        <w:numPr>
          <w:ilvl w:val="0"/>
          <w:numId w:val="3"/>
        </w:numPr>
        <w:spacing w:after="120" w:line="240" w:lineRule="auto"/>
      </w:pPr>
      <w:r>
        <w:rPr>
          <w:rFonts w:ascii="Times New Roman" w:hAnsi="Times New Roman" w:eastAsia="Times New Roman" w:cs="Times New Roman"/>
          <w:sz w:val="24"/>
          <w:szCs w:val="24"/>
        </w:rPr>
        <w:t>Kim Y, Jeong I, Park JH, Jung T, Sohn JW, Park H, et al. Multi-task learning based early prediction model for antibiotic resistance using multi-institutional cohort data. Scientific Reports. 2026;16:11891. https://doi.org/10.1038/s41598-026-41185-z</w:t>
      </w:r>
    </w:p>
    <w:p w14:paraId="3270E823">
      <w:pPr>
        <w:pStyle w:val="29"/>
        <w:numPr>
          <w:ilvl w:val="0"/>
          <w:numId w:val="3"/>
        </w:numPr>
        <w:spacing w:after="120" w:line="240" w:lineRule="auto"/>
      </w:pPr>
      <w:r>
        <w:rPr>
          <w:rFonts w:ascii="Times New Roman" w:hAnsi="Times New Roman" w:eastAsia="Times New Roman" w:cs="Times New Roman"/>
          <w:sz w:val="24"/>
          <w:szCs w:val="24"/>
        </w:rPr>
        <w:t>Valavarasu S, Sangu Y, Mahapatra T. Prediction of antibiotic resistance from antibiotic susceptibility testing results from surveillance data using machine learning. Scientific Reports. 2025;15:30509. https://doi.org/10.1038/s41598-025-14078-w</w:t>
      </w:r>
    </w:p>
    <w:p w14:paraId="5EE3B7AC">
      <w:pPr>
        <w:pStyle w:val="29"/>
        <w:numPr>
          <w:ilvl w:val="0"/>
          <w:numId w:val="3"/>
        </w:numPr>
        <w:spacing w:after="120" w:line="240" w:lineRule="auto"/>
        <w:rPr>
          <w:rFonts w:hint="default" w:ascii="Times New Roman" w:hAnsi="Times New Roman" w:eastAsia="Times New Roman" w:cs="Times New Roman"/>
          <w:sz w:val="24"/>
          <w:szCs w:val="24"/>
          <w:highlight w:val="white"/>
        </w:rPr>
      </w:pPr>
      <w:r>
        <w:rPr>
          <w:rFonts w:ascii="Times New Roman" w:hAnsi="Times New Roman" w:eastAsia="Times New Roman" w:cs="Times New Roman"/>
          <w:sz w:val="24"/>
          <w:szCs w:val="24"/>
        </w:rPr>
        <w:t>Roberts DR, Bahn V, Ciuti S, Boyce MS, Elith J, Guillera-Arroita G, et al. Cross-validation strategies for data with temporal, spatial, hierarchical, or phylogenetic structure. Ecography. 2017;40:913–929. https://doi.org/10.1111/ecog.02881</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68B78FCC-15F8-40E3-83FA-8A241AE56AEC}"/>
  </w:font>
  <w:font w:name="Arial">
    <w:panose1 w:val="020B0604020202020204"/>
    <w:charset w:val="00"/>
    <w:family w:val="swiss"/>
    <w:pitch w:val="default"/>
    <w:sig w:usb0="E0002EFF" w:usb1="C000785B" w:usb2="00000009" w:usb3="00000000" w:csb0="400001FF" w:csb1="FFFF0000"/>
    <w:embedRegular r:id="rId2" w:fontKey="{78BC33E1-998C-4975-993D-951BCAC483C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ABE5B364-56B4-43CE-83E5-C08B729558CC}"/>
  </w:font>
  <w:font w:name="Wingdings">
    <w:panose1 w:val="05000000000000000000"/>
    <w:charset w:val="02"/>
    <w:family w:val="auto"/>
    <w:pitch w:val="default"/>
    <w:sig w:usb0="00000000" w:usb1="00000000" w:usb2="00000000" w:usb3="00000000" w:csb0="80000000" w:csb1="00000000"/>
    <w:embedRegular r:id="rId4" w:fontKey="{6D929C71-97D5-41D9-A150-8E246EA1524E}"/>
  </w:font>
  <w:font w:name="Calibri">
    <w:panose1 w:val="020F0502020204030204"/>
    <w:charset w:val="00"/>
    <w:family w:val="swiss"/>
    <w:pitch w:val="default"/>
    <w:sig w:usb0="E4002EFF" w:usb1="C200247B" w:usb2="00000009" w:usb3="00000000" w:csb0="200001FF" w:csb1="00000000"/>
    <w:embedRegular r:id="rId5" w:fontKey="{1BB1B589-FB42-41BF-91ED-69A67C83F98E}"/>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CC"/>
    <w:family w:val="swiss"/>
    <w:pitch w:val="default"/>
    <w:sig w:usb0="E1002EFF" w:usb1="C000605B" w:usb2="00000029" w:usb3="00000000" w:csb0="200101FF" w:csb1="20280000"/>
    <w:embedRegular r:id="rId6" w:fontKey="{3FD493E8-1603-43A4-9408-896419FA9CF9}"/>
  </w:font>
  <w:font w:name="Segoe UI">
    <w:panose1 w:val="020B0502040204020203"/>
    <w:charset w:val="CC"/>
    <w:family w:val="swiss"/>
    <w:pitch w:val="default"/>
    <w:sig w:usb0="E4002EFF" w:usb1="C000E47F" w:usb2="00000009" w:usb3="00000000" w:csb0="200001FF" w:csb1="00000000"/>
    <w:embedRegular r:id="rId7" w:fontKey="{ABEA2BA2-904A-44D2-A925-8608B848BAA5}"/>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480" w:hanging="480"/>
      </w:pPr>
    </w:lvl>
  </w:abstractNum>
  <w:abstractNum w:abstractNumId="1">
    <w:nsid w:val="663DDBA1"/>
    <w:multiLevelType w:val="singleLevel"/>
    <w:tmpl w:val="663DDBA1"/>
    <w:lvl w:ilvl="0" w:tentative="0">
      <w:start w:val="5"/>
      <w:numFmt w:val="decimal"/>
      <w:suff w:val="space"/>
      <w:lvlText w:val="%1."/>
      <w:lvlJc w:val="left"/>
    </w:lvl>
  </w:abstractNum>
  <w:abstractNum w:abstractNumId="2">
    <w:nsid w:val="686C3FAC"/>
    <w:multiLevelType w:val="singleLevel"/>
    <w:tmpl w:val="686C3FAC"/>
    <w:lvl w:ilvl="0" w:tentative="0">
      <w:start w:val="1"/>
      <w:numFmt w:val="decimal"/>
      <w:suff w:val="space"/>
      <w:lvlText w:val="%1."/>
      <w:lvlJc w:val="left"/>
    </w:lvl>
  </w:abstractNum>
  <w:num w:numId="1">
    <w:abstractNumId w:val="2"/>
  </w:num>
  <w:num w:numId="2">
    <w:abstractNumId w:val="1"/>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
  <w:rsids>
    <w:rsidRoot w:val="00FE5EE1"/>
    <w:rsid w:val="001A3FCF"/>
    <w:rsid w:val="001C1B1F"/>
    <w:rsid w:val="002537F0"/>
    <w:rsid w:val="0030614A"/>
    <w:rsid w:val="00307E32"/>
    <w:rsid w:val="003E0CF1"/>
    <w:rsid w:val="00481FE3"/>
    <w:rsid w:val="005721B0"/>
    <w:rsid w:val="005D60C5"/>
    <w:rsid w:val="0064228A"/>
    <w:rsid w:val="006A392A"/>
    <w:rsid w:val="00871D56"/>
    <w:rsid w:val="0092180E"/>
    <w:rsid w:val="009A7D95"/>
    <w:rsid w:val="00A87E7F"/>
    <w:rsid w:val="00B02070"/>
    <w:rsid w:val="00B9249F"/>
    <w:rsid w:val="00C06D75"/>
    <w:rsid w:val="00C43E9C"/>
    <w:rsid w:val="00FE5EE1"/>
    <w:rsid w:val="04B824E8"/>
    <w:rsid w:val="100D7DC0"/>
    <w:rsid w:val="185E4A3A"/>
    <w:rsid w:val="18714A89"/>
    <w:rsid w:val="1B612DA1"/>
    <w:rsid w:val="1BD167E0"/>
    <w:rsid w:val="1BEE3F36"/>
    <w:rsid w:val="2B004513"/>
    <w:rsid w:val="3B7E1567"/>
    <w:rsid w:val="3B953805"/>
    <w:rsid w:val="4511585F"/>
    <w:rsid w:val="4548737E"/>
    <w:rsid w:val="4A684BCF"/>
    <w:rsid w:val="4C0C0983"/>
    <w:rsid w:val="50EC1D78"/>
    <w:rsid w:val="54C06FD5"/>
    <w:rsid w:val="55FE1DE0"/>
    <w:rsid w:val="599D17CB"/>
    <w:rsid w:val="5C502D86"/>
    <w:rsid w:val="5D705E14"/>
    <w:rsid w:val="67E50C33"/>
    <w:rsid w:val="68104A26"/>
    <w:rsid w:val="683129A9"/>
    <w:rsid w:val="69B202CD"/>
    <w:rsid w:val="6ADB565B"/>
    <w:rsid w:val="6BA97A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ru-RU" w:bidi="ar-SA"/>
    </w:rPr>
  </w:style>
  <w:style w:type="paragraph" w:styleId="2">
    <w:name w:val="heading 1"/>
    <w:basedOn w:val="1"/>
    <w:next w:val="1"/>
    <w:qFormat/>
    <w:uiPriority w:val="0"/>
    <w:pPr>
      <w:keepNext/>
      <w:keepLines/>
      <w:spacing w:before="400" w:after="120"/>
      <w:outlineLvl w:val="0"/>
    </w:pPr>
    <w:rPr>
      <w:sz w:val="40"/>
      <w:szCs w:val="40"/>
    </w:rPr>
  </w:style>
  <w:style w:type="paragraph" w:styleId="3">
    <w:name w:val="heading 2"/>
    <w:basedOn w:val="1"/>
    <w:next w:val="1"/>
    <w:qFormat/>
    <w:uiPriority w:val="0"/>
    <w:pPr>
      <w:keepNext/>
      <w:keepLines/>
      <w:spacing w:before="360" w:after="120"/>
      <w:outlineLvl w:val="1"/>
    </w:pPr>
    <w:rPr>
      <w:sz w:val="32"/>
      <w:szCs w:val="32"/>
    </w:rPr>
  </w:style>
  <w:style w:type="paragraph" w:styleId="4">
    <w:name w:val="heading 3"/>
    <w:basedOn w:val="1"/>
    <w:next w:val="1"/>
    <w:link w:val="27"/>
    <w:qFormat/>
    <w:uiPriority w:val="0"/>
    <w:pPr>
      <w:keepNext/>
      <w:keepLines/>
      <w:spacing w:before="320" w:after="80"/>
      <w:outlineLvl w:val="2"/>
    </w:pPr>
    <w:rPr>
      <w:color w:val="434343"/>
      <w:sz w:val="28"/>
      <w:szCs w:val="28"/>
    </w:rPr>
  </w:style>
  <w:style w:type="paragraph" w:styleId="5">
    <w:name w:val="heading 4"/>
    <w:basedOn w:val="1"/>
    <w:next w:val="1"/>
    <w:qFormat/>
    <w:uiPriority w:val="0"/>
    <w:pPr>
      <w:keepNext/>
      <w:keepLines/>
      <w:spacing w:before="280" w:after="80"/>
      <w:outlineLvl w:val="3"/>
    </w:pPr>
    <w:rPr>
      <w:color w:val="666666"/>
      <w:sz w:val="24"/>
      <w:szCs w:val="24"/>
    </w:rPr>
  </w:style>
  <w:style w:type="paragraph" w:styleId="6">
    <w:name w:val="heading 5"/>
    <w:basedOn w:val="1"/>
    <w:next w:val="1"/>
    <w:qFormat/>
    <w:uiPriority w:val="0"/>
    <w:pPr>
      <w:keepNext/>
      <w:keepLines/>
      <w:spacing w:before="240" w:after="80"/>
      <w:outlineLvl w:val="4"/>
    </w:pPr>
    <w:rPr>
      <w:color w:val="666666"/>
    </w:rPr>
  </w:style>
  <w:style w:type="paragraph" w:styleId="7">
    <w:name w:val="heading 6"/>
    <w:basedOn w:val="1"/>
    <w:next w:val="1"/>
    <w:qFormat/>
    <w:uiPriority w:val="0"/>
    <w:pPr>
      <w:keepNext/>
      <w:keepLines/>
      <w:spacing w:before="240" w:after="80"/>
      <w:outlineLvl w:val="5"/>
    </w:pPr>
    <w:rPr>
      <w:i/>
      <w:iCs/>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5"/>
    <w:qFormat/>
    <w:uiPriority w:val="0"/>
    <w:pPr>
      <w:spacing w:line="240" w:lineRule="auto"/>
    </w:pPr>
    <w:rPr>
      <w:rFonts w:ascii="Tahoma" w:hAnsi="Tahoma" w:cs="Tahoma"/>
      <w:sz w:val="16"/>
      <w:szCs w:val="16"/>
    </w:rPr>
  </w:style>
  <w:style w:type="character" w:styleId="11">
    <w:name w:val="Emphasis"/>
    <w:basedOn w:val="8"/>
    <w:qFormat/>
    <w:uiPriority w:val="20"/>
    <w:rPr>
      <w:i/>
      <w:iCs/>
    </w:rPr>
  </w:style>
  <w:style w:type="character" w:styleId="12">
    <w:name w:val="Hyperlink"/>
    <w:basedOn w:val="8"/>
    <w:qFormat/>
    <w:uiPriority w:val="0"/>
    <w:rPr>
      <w:color w:val="0000FF"/>
      <w:u w:val="single"/>
    </w:rPr>
  </w:style>
  <w:style w:type="paragraph" w:styleId="13">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ru-RU"/>
    </w:rPr>
  </w:style>
  <w:style w:type="character" w:styleId="14">
    <w:name w:val="Strong"/>
    <w:basedOn w:val="8"/>
    <w:qFormat/>
    <w:uiPriority w:val="22"/>
    <w:rPr>
      <w:b/>
      <w:bCs/>
    </w:rPr>
  </w:style>
  <w:style w:type="paragraph" w:styleId="15">
    <w:name w:val="Subtitle"/>
    <w:basedOn w:val="1"/>
    <w:next w:val="1"/>
    <w:qFormat/>
    <w:uiPriority w:val="0"/>
    <w:pPr>
      <w:keepNext/>
      <w:keepLines/>
      <w:spacing w:after="320"/>
    </w:pPr>
    <w:rPr>
      <w:color w:val="666666"/>
      <w:sz w:val="30"/>
      <w:szCs w:val="30"/>
    </w:rPr>
  </w:style>
  <w:style w:type="table" w:styleId="16">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qFormat/>
    <w:uiPriority w:val="0"/>
    <w:pPr>
      <w:keepNext/>
      <w:keepLines/>
      <w:spacing w:after="60"/>
    </w:pPr>
    <w:rPr>
      <w:sz w:val="52"/>
      <w:szCs w:val="52"/>
    </w:rPr>
  </w:style>
  <w:style w:type="table" w:customStyle="1" w:styleId="18">
    <w:name w:val="TableNormal"/>
    <w:qFormat/>
    <w:uiPriority w:val="0"/>
    <w:tblPr>
      <w:tblCellMar>
        <w:top w:w="100" w:type="dxa"/>
        <w:left w:w="100" w:type="dxa"/>
        <w:bottom w:w="100" w:type="dxa"/>
        <w:right w:w="100" w:type="dxa"/>
      </w:tblCellMar>
    </w:tblPr>
  </w:style>
  <w:style w:type="table" w:customStyle="1" w:styleId="19">
    <w:name w:val="_Style 10"/>
    <w:basedOn w:val="18"/>
    <w:qFormat/>
    <w:uiPriority w:val="0"/>
  </w:style>
  <w:style w:type="table" w:customStyle="1" w:styleId="20">
    <w:name w:val="_Style 11"/>
    <w:basedOn w:val="18"/>
    <w:qFormat/>
    <w:uiPriority w:val="0"/>
  </w:style>
  <w:style w:type="table" w:customStyle="1" w:styleId="21">
    <w:name w:val="_Style 12"/>
    <w:basedOn w:val="18"/>
    <w:qFormat/>
    <w:uiPriority w:val="0"/>
  </w:style>
  <w:style w:type="table" w:customStyle="1" w:styleId="22">
    <w:name w:val="_Style 13"/>
    <w:basedOn w:val="18"/>
    <w:qFormat/>
    <w:uiPriority w:val="0"/>
  </w:style>
  <w:style w:type="table" w:customStyle="1" w:styleId="23">
    <w:name w:val="_Style 14"/>
    <w:basedOn w:val="18"/>
    <w:qFormat/>
    <w:uiPriority w:val="0"/>
  </w:style>
  <w:style w:type="table" w:customStyle="1" w:styleId="24">
    <w:name w:val="_Style 15"/>
    <w:basedOn w:val="18"/>
    <w:qFormat/>
    <w:uiPriority w:val="0"/>
  </w:style>
  <w:style w:type="character" w:customStyle="1" w:styleId="25">
    <w:name w:val="Текст выноски Знак"/>
    <w:basedOn w:val="8"/>
    <w:link w:val="10"/>
    <w:qFormat/>
    <w:uiPriority w:val="0"/>
    <w:rPr>
      <w:rFonts w:ascii="Tahoma" w:hAnsi="Tahoma" w:eastAsia="Arial" w:cs="Tahoma"/>
      <w:sz w:val="16"/>
      <w:szCs w:val="16"/>
      <w:lang w:val="en"/>
    </w:rPr>
  </w:style>
  <w:style w:type="character" w:customStyle="1" w:styleId="26">
    <w:name w:val="ai-highlight"/>
    <w:basedOn w:val="8"/>
    <w:qFormat/>
    <w:uiPriority w:val="0"/>
  </w:style>
  <w:style w:type="character" w:customStyle="1" w:styleId="27">
    <w:name w:val="Заголовок 3 Знак"/>
    <w:basedOn w:val="8"/>
    <w:link w:val="4"/>
    <w:qFormat/>
    <w:uiPriority w:val="0"/>
    <w:rPr>
      <w:rFonts w:ascii="Arial" w:hAnsi="Arial" w:eastAsia="Arial" w:cs="Arial"/>
      <w:color w:val="434343"/>
      <w:sz w:val="28"/>
      <w:szCs w:val="28"/>
      <w:lang w:val="en"/>
    </w:rPr>
  </w:style>
  <w:style w:type="paragraph" w:customStyle="1" w:styleId="28">
    <w:name w:val="ds-markdown-paragraph"/>
    <w:basedOn w:val="1"/>
    <w:qFormat/>
    <w:uiPriority w:val="0"/>
    <w:pPr>
      <w:spacing w:before="100" w:beforeAutospacing="1" w:after="100" w:afterAutospacing="1" w:line="240" w:lineRule="auto"/>
    </w:pPr>
    <w:rPr>
      <w:rFonts w:ascii="Times New Roman" w:hAnsi="Times New Roman" w:eastAsia="Times New Roman" w:cs="Times New Roman"/>
      <w:sz w:val="24"/>
      <w:szCs w:val="24"/>
      <w:lang w:val="ru-RU"/>
    </w:rPr>
  </w:style>
  <w:style w:type="paragraph" w:styleId="29">
    <w:name w:val="List Paragraph"/>
    <w:qFormat/>
    <w:uiPriority w:val="0"/>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17</Pages>
  <Words>3576</Words>
  <Characters>22003</Characters>
  <Lines>314</Lines>
  <Paragraphs>88</Paragraphs>
  <TotalTime>27</TotalTime>
  <ScaleCrop>false</ScaleCrop>
  <LinksUpToDate>false</LinksUpToDate>
  <CharactersWithSpaces>25407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2026-06-28T13:29:00Z</dcterms:created>
  <dc:creator>niker</dc:creator>
  <cp:lastModifiedBy>niker</cp:lastModifiedBy>
  <dcterms:modified xsi:type="dcterms:W3CDTF">2026-07-06T12:29:03Z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eyJoZGlkIjoiNGUzMmJhMTEyNzQ0ZjBiMDVkOTkzOTg0MGI4MWY1MjcifQ==</vt:lpwstr>
  </property>
  <property fmtid="{D5CDD505-2E9C-101B-9397-08002B2CF9AE}" pid="3" name="KSOProductBuildVer">
    <vt:lpwstr>1033-12.1.0.26880</vt:lpwstr>
  </property>
  <property fmtid="{D5CDD505-2E9C-101B-9397-08002B2CF9AE}" pid="4" name="ICV">
    <vt:lpwstr>D500177BEAAA41FB88C92379E7995DDE_13</vt:lpwstr>
  </property>
</Properties>
</file>