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D26FB">
      <w:pPr>
        <w:pStyle w:val="13"/>
        <w:rPr>
          <w:lang w:val="en-US"/>
        </w:rPr>
      </w:pPr>
      <w:r>
        <w:rPr>
          <w:rStyle w:val="14"/>
          <w:lang w:val="en-US"/>
        </w:rPr>
        <w:t>Predicting Antimicrobial Resistance Without Local Data: Cross-Country Transfer to Kazakhstan</w:t>
      </w:r>
    </w:p>
    <w:p w14:paraId="2310BBDA">
      <w:pPr>
        <w:pStyle w:val="13"/>
        <w:rPr>
          <w:lang w:val="en-US"/>
        </w:rPr>
      </w:pPr>
      <w:r>
        <w:rPr>
          <w:rStyle w:val="14"/>
          <w:lang w:val="en-US"/>
        </w:rPr>
        <w:t>Abstract</w:t>
      </w:r>
    </w:p>
    <w:p w14:paraId="62AF1CE0">
      <w:pPr>
        <w:pStyle w:val="13"/>
        <w:rPr>
          <w:lang w:val="en-US"/>
        </w:rPr>
      </w:pPr>
      <w:r>
        <w:rPr>
          <w:rStyle w:val="14"/>
          <w:lang w:val="en-US"/>
        </w:rPr>
        <w:t>Background.</w:t>
      </w:r>
      <w:r>
        <w:rPr>
          <w:lang w:val="en-US"/>
        </w:rPr>
        <w:t xml:space="preserve"> </w:t>
      </w:r>
      <w:r>
        <w:rPr>
          <w:rStyle w:val="26"/>
          <w:lang w:val="en-US"/>
        </w:rPr>
        <w:t>Machine learning models predict antimicrobial resistance (AMR) well in high-income countries but do not work in locations where there is no local surveillance.</w:t>
      </w:r>
      <w:r>
        <w:rPr>
          <w:lang w:val="en-US"/>
        </w:rPr>
        <w:t xml:space="preserve"> </w:t>
      </w:r>
      <w:r>
        <w:rPr>
          <w:rStyle w:val="26"/>
          <w:lang w:val="en-US"/>
        </w:rPr>
        <w:t>Despite uncontested evidence that AMR contributed to the deaths of over 1.14 million individuals in 2021, there are no adequate isolate-level data to inform empirical treatment in countries like Kazakhstan.</w:t>
      </w:r>
      <w:r>
        <w:rPr>
          <w:lang w:val="en-US"/>
        </w:rPr>
        <w:t xml:space="preserve"> </w:t>
      </w:r>
      <w:r>
        <w:rPr>
          <w:rStyle w:val="26"/>
          <w:lang w:val="en-US"/>
        </w:rPr>
        <w:t>We ask whether AMR can be predicted for a country that did not contribute any training isolates, based exclusively on macroeconomic data, public information about antibiotic usage, and organism and antibiotic identities.</w:t>
      </w:r>
    </w:p>
    <w:p w14:paraId="05D0E910">
      <w:pPr>
        <w:pStyle w:val="13"/>
        <w:rPr>
          <w:lang w:val="en-US"/>
        </w:rPr>
      </w:pPr>
      <w:r>
        <w:rPr>
          <w:rStyle w:val="14"/>
          <w:lang w:val="en-US"/>
        </w:rPr>
        <w:t>Methods.</w:t>
      </w:r>
      <w:r>
        <w:rPr>
          <w:lang w:val="en-US"/>
        </w:rPr>
        <w:t xml:space="preserve"> </w:t>
      </w:r>
      <w:r>
        <w:rPr>
          <w:rStyle w:val="26"/>
          <w:lang w:val="en-US"/>
        </w:rPr>
        <w:t>About 11.3 million susceptibility results from 1.08 million isolates from 85 countries (excluding Kazakhstan) were used for training a CatBoost model.</w:t>
      </w:r>
      <w:r>
        <w:rPr>
          <w:lang w:val="en-US"/>
        </w:rPr>
        <w:t xml:space="preserve"> </w:t>
      </w:r>
      <w:r>
        <w:rPr>
          <w:rStyle w:val="26"/>
          <w:lang w:val="en-US"/>
        </w:rPr>
        <w:t>Resistance probability estimates were calculated by leave-one-country-out (LOCO) cross-validation as well as by temporal hold-out and four-country hold-out validation.</w:t>
      </w:r>
      <w:r>
        <w:rPr>
          <w:lang w:val="en-US"/>
        </w:rPr>
        <w:t xml:space="preserve"> </w:t>
      </w:r>
      <w:r>
        <w:rPr>
          <w:rStyle w:val="26"/>
          <w:lang w:val="en-US"/>
        </w:rPr>
        <w:t>Resistance probability estimates were evaluated using AUC, recall, and expected calibration error (ECE).</w:t>
      </w:r>
    </w:p>
    <w:p w14:paraId="4C641B17">
      <w:pPr>
        <w:pStyle w:val="13"/>
        <w:rPr>
          <w:lang w:val="en-US"/>
        </w:rPr>
      </w:pPr>
      <w:r>
        <w:rPr>
          <w:rStyle w:val="14"/>
          <w:lang w:val="en-US"/>
        </w:rPr>
        <w:t>Results.</w:t>
      </w:r>
      <w:r>
        <w:rPr>
          <w:lang w:val="en-US"/>
        </w:rPr>
        <w:t xml:space="preserve"> </w:t>
      </w:r>
      <w:r>
        <w:rPr>
          <w:rStyle w:val="26"/>
          <w:lang w:val="en-US"/>
        </w:rPr>
        <w:t>On the post-2020 hold-out set, the model achieved an AUC of 0.849, a recall of 0.797, and an ECE of 0.012.</w:t>
      </w:r>
      <w:r>
        <w:rPr>
          <w:lang w:val="en-US"/>
        </w:rPr>
        <w:t xml:space="preserve"> </w:t>
      </w:r>
      <w:r>
        <w:rPr>
          <w:rStyle w:val="26"/>
          <w:lang w:val="en-US"/>
        </w:rPr>
        <w:t xml:space="preserve">The four held-out countries (prevalence 15–44%) had AUCs ranging between 0.81 and 0.89, and calibration was </w:t>
      </w:r>
      <w:r>
        <w:rPr>
          <w:rStyle w:val="26"/>
          <w:rFonts w:hint="default"/>
          <w:lang w:val="en-US"/>
        </w:rPr>
        <w:t>lower</w:t>
      </w:r>
      <w:r>
        <w:rPr>
          <w:rStyle w:val="26"/>
          <w:lang w:val="en-US"/>
        </w:rPr>
        <w:t xml:space="preserve"> when the held-out country was further from the training country in terms of similarity.</w:t>
      </w:r>
      <w:r>
        <w:rPr>
          <w:lang w:val="en-US"/>
        </w:rPr>
        <w:t xml:space="preserve"> </w:t>
      </w:r>
      <w:r>
        <w:rPr>
          <w:rStyle w:val="26"/>
          <w:lang w:val="en-US"/>
        </w:rPr>
        <w:t xml:space="preserve">Of 480 organism–antibiotic–year inferences in Kazakhstan, 66.9% exceeded the 20 percent limit, with </w:t>
      </w:r>
      <w:r>
        <w:rPr>
          <w:rStyle w:val="11"/>
          <w:lang w:val="en-US"/>
        </w:rPr>
        <w:t>Acinetobacter baumannii</w:t>
      </w:r>
      <w:r>
        <w:rPr>
          <w:rStyle w:val="26"/>
          <w:lang w:val="en-US"/>
        </w:rPr>
        <w:t xml:space="preserve"> showing the highest level of predicted resistance.</w:t>
      </w:r>
    </w:p>
    <w:p w14:paraId="52528919">
      <w:pPr>
        <w:pStyle w:val="13"/>
        <w:rPr>
          <w:rStyle w:val="26"/>
          <w:lang w:val="en-US"/>
        </w:rPr>
      </w:pPr>
      <w:r>
        <w:rPr>
          <w:rStyle w:val="14"/>
          <w:lang w:val="en-US"/>
        </w:rPr>
        <w:t>Conclusions.</w:t>
      </w:r>
      <w:r>
        <w:rPr>
          <w:lang w:val="en-US"/>
        </w:rPr>
        <w:t xml:space="preserve"> </w:t>
      </w:r>
      <w:r>
        <w:rPr>
          <w:rStyle w:val="26"/>
          <w:lang w:val="en-US"/>
        </w:rPr>
        <w:t>Macro-feature transfer can support AMR testing in data-limited countries/territories, indicating which combinations to test first and not serving as a replacement for surveillance.</w:t>
      </w:r>
    </w:p>
    <w:p w14:paraId="6453E0A3">
      <w:pPr>
        <w:keepNext w:val="0"/>
        <w:keepLines w:val="0"/>
        <w:widowControl/>
        <w:suppressLineNumbers w:val="0"/>
        <w:jc w:val="left"/>
      </w:pPr>
      <w:r>
        <w:rPr>
          <w:rFonts w:hint="default" w:ascii="Times New Roman" w:hAnsi="Times New Roman" w:eastAsia="SimSun" w:cs="Times New Roman"/>
          <w:b/>
          <w:bCs/>
          <w:color w:val="000000"/>
          <w:kern w:val="0"/>
          <w:sz w:val="24"/>
          <w:szCs w:val="24"/>
          <w:lang w:val="en-US" w:eastAsia="zh-CN" w:bidi="ar"/>
        </w:rPr>
        <w:t xml:space="preserve">Keywords: </w:t>
      </w:r>
      <w:r>
        <w:rPr>
          <w:rFonts w:hint="default" w:ascii="Times New Roman" w:hAnsi="Times New Roman" w:eastAsia="SimSun" w:cs="Times New Roman"/>
          <w:color w:val="000000"/>
          <w:kern w:val="0"/>
          <w:sz w:val="24"/>
          <w:szCs w:val="24"/>
          <w:lang w:val="en-US" w:eastAsia="zh-CN" w:bidi="ar"/>
        </w:rPr>
        <w:t xml:space="preserve">antimicrobial resistance; cross-country transfer learning; CatBoost; probability </w:t>
      </w:r>
    </w:p>
    <w:p w14:paraId="70F7B210">
      <w:pPr>
        <w:keepNext w:val="0"/>
        <w:keepLines w:val="0"/>
        <w:widowControl/>
        <w:suppressLineNumbers w:val="0"/>
        <w:jc w:val="left"/>
        <w:rPr>
          <w:rStyle w:val="26"/>
          <w:rFonts w:hint="default"/>
          <w:lang w:val="en-US"/>
        </w:rPr>
      </w:pPr>
      <w:r>
        <w:rPr>
          <w:rFonts w:hint="default" w:ascii="Times New Roman" w:hAnsi="Times New Roman" w:eastAsia="SimSun" w:cs="Times New Roman"/>
          <w:color w:val="000000"/>
          <w:kern w:val="0"/>
          <w:sz w:val="24"/>
          <w:szCs w:val="24"/>
          <w:lang w:val="en-US" w:eastAsia="zh-CN" w:bidi="ar"/>
        </w:rPr>
        <w:t xml:space="preserve">calibration; surveillance gap; Kazakhstan. </w:t>
      </w:r>
    </w:p>
    <w:p w14:paraId="5F88D621">
      <w:pPr>
        <w:pStyle w:val="13"/>
        <w:rPr>
          <w:lang w:val="en-US"/>
        </w:rPr>
      </w:pPr>
      <w:r>
        <w:rPr>
          <w:rStyle w:val="14"/>
          <w:lang w:val="en-US"/>
        </w:rPr>
        <w:t>Introduction</w:t>
      </w:r>
    </w:p>
    <w:p w14:paraId="5FFD7F9F">
      <w:pPr>
        <w:pStyle w:val="13"/>
        <w:rPr>
          <w:lang w:val="en-US"/>
        </w:rPr>
      </w:pPr>
      <w:r>
        <w:rPr>
          <w:rStyle w:val="26"/>
          <w:lang w:val="en-US"/>
        </w:rPr>
        <w:t>Antimicrobial resistance (AMR) affects people and their communities, directly contributing to the deaths of 1.14 million people in 2021 due to AMR alone ((M. Naghavi, S. E. Vollset, K. S. Ikuta, et al. [GBD 2021 Antimicrobial Resistance Collaborators]. Global burden of bacterial antimicrobial resistance 1990–2021: a systematic analysis with forecasts to 2050. The Lancet. Vol. 404, pg. 1199–1226, 2024, https://doi.org/10.1016/S0140-6736(24)01867-1.)) and 4.71 million deaths overall associated with AMR.</w:t>
      </w:r>
      <w:r>
        <w:rPr>
          <w:lang w:val="en-US"/>
        </w:rPr>
        <w:t xml:space="preserve"> </w:t>
      </w:r>
      <w:r>
        <w:rPr>
          <w:rStyle w:val="26"/>
          <w:lang w:val="en-US"/>
        </w:rPr>
        <w:t>By 2050, AMR is estimated to lead to 10 million cases a year worldwide ((J. O'Neill. Tackling drug-resistant infections globally: final report and recommendations. The Review on Antimicrobial Resistance, 2016, https://amr-review.org/.)) and losses to global GDP of up to 3.4 trillion USD annually by 2030 ((World Bank. Drug-resistant infections: a threat to our economic future. World Bank, Washington, DC, 2017, http://hdl.handle.net/10986/26707.)).</w:t>
      </w:r>
      <w:r>
        <w:rPr>
          <w:lang w:val="en-US"/>
        </w:rPr>
        <w:t xml:space="preserve"> </w:t>
      </w:r>
      <w:r>
        <w:rPr>
          <w:rStyle w:val="26"/>
          <w:lang w:val="en-US"/>
        </w:rPr>
        <w:t>In reality, AMR is a global problem, but its impact is not felt uniformly; in LMICs this can be attributed to a lack of the necessary infrastructure, laboratory diagnostic tools, and infection control capacities.</w:t>
      </w:r>
      <w:r>
        <w:rPr>
          <w:lang w:val="en-US"/>
        </w:rPr>
        <w:t xml:space="preserve"> </w:t>
      </w:r>
      <w:r>
        <w:rPr>
          <w:rStyle w:val="26"/>
          <w:lang w:val="en-US"/>
        </w:rPr>
        <w:t>Isolate data from global surveillance (WHO GLASS, ATLAS, SIDERO-WT) are highly skewed towards data from high-income countries, and resistance in LMICs is woefully under-represented.</w:t>
      </w:r>
      <w:r>
        <w:rPr>
          <w:lang w:val="en-US"/>
        </w:rPr>
        <w:t xml:space="preserve"> </w:t>
      </w:r>
      <w:r>
        <w:rPr>
          <w:rStyle w:val="26"/>
          <w:lang w:val="en-US"/>
        </w:rPr>
        <w:t>Central Asia, including Kazakhstan, is a clear blind spot in global AMR monitoring due to limited microbiology laboratory capacity, suboptimal antimicrobial surveillance systems in post-Soviet countries, and an incomplete nationwide AMR surveillance program in Kazakhstan ((Z. Kosherova, D. Zhazykhbayeva, A. Aimurziyeva, D. Bayesheva, Y. Semenova. The implementation of antimicrobial consumption surveillance and stewardship in human healthcare in post-Soviet states: a systematic review. Antibiotics. Vol. 14, Article 749, 2025, https://doi.org/10.3390/antibiotics14080749.)).</w:t>
      </w:r>
      <w:r>
        <w:rPr>
          <w:lang w:val="en-US"/>
        </w:rPr>
        <w:t xml:space="preserve"> </w:t>
      </w:r>
      <w:r>
        <w:rPr>
          <w:rStyle w:val="26"/>
          <w:lang w:val="en-US"/>
        </w:rPr>
        <w:t>This motivated us to examine cross-country generalization, which we define as predicting resistance in a country where no data were used to train or validate the model, in this case applied to Kazakhstan, where no Kazakhstani data were used in training or validation of the model (global data only).</w:t>
      </w:r>
    </w:p>
    <w:p w14:paraId="37C20769">
      <w:pPr>
        <w:pStyle w:val="13"/>
        <w:rPr>
          <w:lang w:val="en-US"/>
        </w:rPr>
      </w:pPr>
      <w:r>
        <w:rPr>
          <w:rStyle w:val="26"/>
          <w:lang w:val="en-US"/>
        </w:rPr>
        <w:t>Several pharmaco-epidemiological and epidemiological predictors have proved successful in predicting AMR without genomic information ((D. R. MacFadden, S. F. McGough, D. Fisman, M. Santillana, J. S. Brownstein. Antibiotic resistance increases with local temperature. Nature Climate Change. Vol. 8, pg. 510–514, 2018, https://doi.org/10.1038/s41558-018-0161-6.)), and phenotypic methods have also proved successful.</w:t>
      </w:r>
      <w:r>
        <w:rPr>
          <w:lang w:val="en-US"/>
        </w:rPr>
        <w:t xml:space="preserve"> </w:t>
      </w:r>
      <w:r>
        <w:rPr>
          <w:rStyle w:val="26"/>
          <w:lang w:val="en-US"/>
        </w:rPr>
        <w:t>All existing methods of validation, however, rely on isolates collected specifically within the study area, so for Kazakhstan, such isolates are not available, and Kazakhstan has rather few data sources.</w:t>
      </w:r>
      <w:r>
        <w:rPr>
          <w:lang w:val="en-US"/>
        </w:rPr>
        <w:t xml:space="preserve"> </w:t>
      </w:r>
      <w:r>
        <w:rPr>
          <w:rStyle w:val="26"/>
          <w:lang w:val="en-US"/>
        </w:rPr>
        <w:t>The most serious error is a false negative (i.e., not reporting a resistant isolate as resistant), which results in undertreatment of an infection or inappropriate empirical treatment.</w:t>
      </w:r>
      <w:r>
        <w:rPr>
          <w:lang w:val="en-US"/>
        </w:rPr>
        <w:t xml:space="preserve"> </w:t>
      </w:r>
      <w:r>
        <w:rPr>
          <w:rStyle w:val="26"/>
          <w:lang w:val="en-US"/>
        </w:rPr>
        <w:t>This surveillance gap is addressed by a CatBoost model trained on global data and evaluated using only publicly accessible macroeconomic indicators and antibiotic consumption data as input features.</w:t>
      </w:r>
    </w:p>
    <w:p w14:paraId="354187EB">
      <w:pPr>
        <w:pStyle w:val="13"/>
        <w:rPr>
          <w:lang w:val="en-US"/>
        </w:rPr>
      </w:pPr>
      <w:r>
        <w:rPr>
          <w:rStyle w:val="26"/>
          <w:lang w:val="en-US"/>
        </w:rPr>
        <w:t>This is, to our knowledge, the first time data-free cross-country prediction of AMR is applied in a Central Asian country – Kazakhstan.</w:t>
      </w:r>
      <w:r>
        <w:rPr>
          <w:lang w:val="en-US"/>
        </w:rPr>
        <w:t xml:space="preserve"> </w:t>
      </w:r>
      <w:r>
        <w:rPr>
          <w:rStyle w:val="26"/>
          <w:lang w:val="en-US"/>
        </w:rPr>
        <w:t>Three non-local approaches are proposed for the use of ground truth data, namely temporal splitting, Leave-One-Country-Out (LOCO), and rolling temporal cross-validation (rTCV).</w:t>
      </w:r>
      <w:r>
        <w:rPr>
          <w:lang w:val="en-US"/>
        </w:rPr>
        <w:t xml:space="preserve"> </w:t>
      </w:r>
      <w:r>
        <w:rPr>
          <w:rStyle w:val="26"/>
          <w:lang w:val="en-US"/>
        </w:rPr>
        <w:t>Second, we demonstrated the feasibility of these common data in order to select priority tests that can be applied in areas with less data available (hypothesis generation), a task that could be easily replicated in numerous areas that are sparsely surveyed.</w:t>
      </w:r>
      <w:r>
        <w:rPr>
          <w:lang w:val="en-US"/>
        </w:rPr>
        <w:t xml:space="preserve"> </w:t>
      </w:r>
      <w:r>
        <w:rPr>
          <w:rStyle w:val="26"/>
          <w:lang w:val="en-US"/>
        </w:rPr>
        <w:t>In Kazakhstan, where no national isolate-based system is established, the principle is based on the choice of which organism–antibiotic combination should be tested first.</w:t>
      </w:r>
      <w:r>
        <w:rPr>
          <w:lang w:val="en-US"/>
        </w:rPr>
        <w:t xml:space="preserve"> </w:t>
      </w:r>
      <w:r>
        <w:rPr>
          <w:rStyle w:val="26"/>
          <w:lang w:val="en-US"/>
        </w:rPr>
        <w:t>The resistance probability estimates generated by the model based on the global surveillance data, without using any clinical data from Kazakhstan and with only macro-level features and antibiotic consumption data, would be sufficient for prioritizing antibiotics using the 20 percent clinical actionability threshold.</w:t>
      </w:r>
    </w:p>
    <w:p w14:paraId="3677D12E">
      <w:pPr>
        <w:pStyle w:val="13"/>
        <w:rPr>
          <w:lang w:val="en-US"/>
        </w:rPr>
      </w:pPr>
      <w:r>
        <w:rPr>
          <w:rStyle w:val="14"/>
          <w:lang w:val="en-US"/>
        </w:rPr>
        <w:t>2. Methods</w:t>
      </w:r>
    </w:p>
    <w:p w14:paraId="0ECCAA39">
      <w:pPr>
        <w:pStyle w:val="13"/>
        <w:rPr>
          <w:lang w:val="en-US"/>
        </w:rPr>
      </w:pPr>
      <w:r>
        <w:rPr>
          <w:rStyle w:val="14"/>
          <w:lang w:val="en-US"/>
        </w:rPr>
        <w:t>2.1 Study Design</w:t>
      </w:r>
    </w:p>
    <w:p w14:paraId="4511B2E9">
      <w:pPr>
        <w:pStyle w:val="13"/>
        <w:rPr>
          <w:lang w:val="en-US"/>
        </w:rPr>
      </w:pPr>
      <w:r>
        <w:rPr>
          <w:lang w:val="en-US"/>
        </w:rPr>
        <w:t xml:space="preserve">A cross-country prediction approach to forecasting AMR patterns for Kazakhstan without the need for local data to be used for model training is introduced in this paper. </w:t>
      </w:r>
      <w:r>
        <w:rPr>
          <w:rStyle w:val="26"/>
          <w:lang w:val="en-US"/>
        </w:rPr>
        <w:t>The proposed pipeline is shown in Figure 1.</w:t>
      </w:r>
      <w:r>
        <w:rPr>
          <w:lang w:val="en-US"/>
        </w:rPr>
        <w:t xml:space="preserve"> </w:t>
      </w:r>
      <w:r>
        <w:rPr>
          <w:rStyle w:val="26"/>
          <w:lang w:val="en-US"/>
        </w:rPr>
        <w:t>Two input datasets are used – global AMR surveillance and macro-economic and antibiotic consumption at the national level.</w:t>
      </w:r>
      <w:r>
        <w:rPr>
          <w:lang w:val="en-US"/>
        </w:rPr>
        <w:t xml:space="preserve"> </w:t>
      </w:r>
      <w:r>
        <w:rPr>
          <w:rStyle w:val="26"/>
          <w:lang w:val="en-US"/>
        </w:rPr>
        <w:t>Firstly, the global AMR dataset is preprocessed, harmonized, and feature engineered; next, four machine learning models, including LightGBM, CatBoost, Random Forest, and Logistic Regression, are trained to determine the most suitable model among the candidates, excluding Kazakhstan from the sample.</w:t>
      </w:r>
      <w:r>
        <w:rPr>
          <w:lang w:val="en-US"/>
        </w:rPr>
        <w:t xml:space="preserve"> </w:t>
      </w:r>
      <w:r>
        <w:rPr>
          <w:rStyle w:val="26"/>
          <w:lang w:val="en-US"/>
        </w:rPr>
        <w:t>Once selected, this model will be transferred to the Kazakhstan domain using only macroeconomic and antibiotic consumption features as inputs.</w:t>
      </w:r>
      <w:r>
        <w:rPr>
          <w:lang w:val="en-US"/>
        </w:rPr>
        <w:t xml:space="preserve"> </w:t>
      </w:r>
      <w:r>
        <w:rPr>
          <w:rStyle w:val="26"/>
          <w:lang w:val="en-US"/>
        </w:rPr>
        <w:t>Three robustness measures are applied: hold-out, leave-one-country-out (LOCO) CV, and rolling-origin CV; all three are possible to apply to the data with no local ground truth.</w:t>
      </w:r>
      <w:r>
        <w:rPr>
          <w:lang w:val="en-US"/>
        </w:rPr>
        <w:t xml:space="preserve"> </w:t>
      </w:r>
      <w:r>
        <w:rPr>
          <w:rStyle w:val="26"/>
          <w:lang w:val="en-US"/>
        </w:rPr>
        <w:t>Once resistance probabilities are calibrated by the model chosen (with isotonic regression trained on the period of 2019-2020), multicriteria prioritisation leads to the final risk forecast.</w:t>
      </w:r>
    </w:p>
    <w:p w14:paraId="00E247DF">
      <w:pPr>
        <w:spacing w:after="16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lang w:val="ru-RU"/>
        </w:rPr>
        <w:drawing>
          <wp:inline distT="114300" distB="114300" distL="114300" distR="114300">
            <wp:extent cx="5943600" cy="3467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5943600" cy="3467100"/>
                    </a:xfrm>
                    <a:prstGeom prst="rect">
                      <a:avLst/>
                    </a:prstGeom>
                  </pic:spPr>
                </pic:pic>
              </a:graphicData>
            </a:graphic>
          </wp:inline>
        </w:drawing>
      </w:r>
    </w:p>
    <w:p w14:paraId="3F62E173">
      <w:pPr>
        <w:pStyle w:val="13"/>
        <w:rPr>
          <w:lang w:val="en-US"/>
        </w:rPr>
      </w:pPr>
      <w:r>
        <w:rPr>
          <w:rStyle w:val="14"/>
          <w:lang w:val="en-US"/>
        </w:rPr>
        <w:t xml:space="preserve">Figure 1 </w:t>
      </w:r>
      <w:r>
        <w:rPr>
          <w:rStyle w:val="11"/>
          <w:lang w:val="en-US"/>
        </w:rPr>
        <w:t>Overall workflow of the machine learning pipeline from data preprocessing to prediction.</w:t>
      </w:r>
    </w:p>
    <w:p w14:paraId="5167987C">
      <w:pPr>
        <w:pStyle w:val="13"/>
        <w:rPr>
          <w:lang w:val="en-US"/>
        </w:rPr>
      </w:pPr>
      <w:r>
        <w:rPr>
          <w:rStyle w:val="14"/>
          <w:lang w:val="en-US"/>
        </w:rPr>
        <w:t>2.2 Data</w:t>
      </w:r>
    </w:p>
    <w:p w14:paraId="0514EDC5">
      <w:pPr>
        <w:pStyle w:val="13"/>
        <w:rPr>
          <w:lang w:val="en-US"/>
        </w:rPr>
      </w:pPr>
      <w:r>
        <w:rPr>
          <w:rStyle w:val="14"/>
          <w:lang w:val="en-US"/>
        </w:rPr>
        <w:t>2.2.1 Data Sources and Acquisition</w:t>
      </w:r>
    </w:p>
    <w:p w14:paraId="42B830F7">
      <w:pPr>
        <w:pStyle w:val="13"/>
        <w:rPr>
          <w:lang w:val="en-US"/>
        </w:rPr>
      </w:pPr>
      <w:r>
        <w:rPr>
          <w:lang w:val="en-US"/>
        </w:rPr>
        <w:t xml:space="preserve">Two types of datasets were used: </w:t>
      </w:r>
      <w:r>
        <w:rPr>
          <w:rStyle w:val="26"/>
          <w:lang w:val="en-US"/>
        </w:rPr>
        <w:t>a global dataset used for all model training, validation, and hyperparameter tuning, and a target dataset for Kazakhstan, where inference and post-hoc face validity were conducted and did not affect any model fitting process.</w:t>
      </w:r>
      <w:r>
        <w:rPr>
          <w:lang w:val="en-US"/>
        </w:rPr>
        <w:t xml:space="preserve"> </w:t>
      </w:r>
      <w:r>
        <w:rPr>
          <w:rStyle w:val="26"/>
          <w:lang w:val="en-US"/>
        </w:rPr>
        <w:t>Isolate-level data were obtained from three global surveillance databases accessed via </w:t>
      </w:r>
      <w:r>
        <w:fldChar w:fldCharType="begin"/>
      </w:r>
      <w:r>
        <w:instrText xml:space="preserve"> HYPERLINK "http://Vivli.org" \t "_blank" </w:instrText>
      </w:r>
      <w:r>
        <w:fldChar w:fldCharType="separate"/>
      </w:r>
      <w:r>
        <w:rPr>
          <w:rStyle w:val="26"/>
          <w:color w:val="0000FF"/>
          <w:u w:val="single"/>
          <w:lang w:val="en-US"/>
        </w:rPr>
        <w:t>Vivli.org</w:t>
      </w:r>
      <w:r>
        <w:rPr>
          <w:rStyle w:val="26"/>
          <w:color w:val="0000FF"/>
          <w:u w:val="single"/>
          <w:lang w:val="en-US"/>
        </w:rPr>
        <w:fldChar w:fldCharType="end"/>
      </w:r>
      <w:r>
        <w:rPr>
          <w:rStyle w:val="26"/>
          <w:lang w:val="en-US"/>
        </w:rPr>
        <w:t>: ATLAS (Pfizer) ((Pfizer. ATLAS database [data set]. Vivli, 2023, https://vivli.org/.)), SIDERO-WT (Shionogi) ((Shionogi. SIDERO-WT database [data set]. Vivli, 2023, https://vivli.org/.)), and KEYSTONE, following applications for data access.</w:t>
      </w:r>
      <w:r>
        <w:rPr>
          <w:lang w:val="en-US"/>
        </w:rPr>
        <w:t xml:space="preserve"> </w:t>
      </w:r>
      <w:r>
        <w:rPr>
          <w:rStyle w:val="26"/>
          <w:lang w:val="en-US"/>
        </w:rPr>
        <w:t>The data on consumption of antibiotics (DDD per 1,000 inhabitants per day) were obtained from Wang et al.</w:t>
      </w:r>
      <w:r>
        <w:rPr>
          <w:lang w:val="en-US"/>
        </w:rPr>
        <w:t xml:space="preserve"> </w:t>
      </w:r>
      <w:r>
        <w:rPr>
          <w:rStyle w:val="26"/>
          <w:lang w:val="en-US"/>
        </w:rPr>
        <w:t>((L. Wang, H. Chen, Y. Zhang, Y. Tian, X. Hu, J. Wu, X. Li, H. Jia, H. Wang, C. Yu, Y. Yang, L. Fang, H. Song. Global antibiotic consumption and regional antimicrobial resistance, 2010–21: an analysis of pharmaceutical sales and antimicrobial resistance surveillance data. Lancet Global Health. Vol. 13, pg. e1880–e1891, 2025, https://doi.org/10.1016/S2214-109X(25)00308-0.)).</w:t>
      </w:r>
      <w:r>
        <w:rPr>
          <w:lang w:val="en-US"/>
        </w:rPr>
        <w:t xml:space="preserve"> </w:t>
      </w:r>
      <w:r>
        <w:rPr>
          <w:rStyle w:val="26"/>
          <w:lang w:val="en-US"/>
        </w:rPr>
        <w:t>Kazakhstan has no national AMR surveillance system, thus no isolate-level susceptibility data were available for model training.</w:t>
      </w:r>
      <w:r>
        <w:rPr>
          <w:lang w:val="en-US"/>
        </w:rPr>
        <w:t xml:space="preserve"> </w:t>
      </w:r>
      <w:r>
        <w:rPr>
          <w:rStyle w:val="26"/>
          <w:lang w:val="en-US"/>
        </w:rPr>
        <w:t>All features were country-level proxy features in the same feature space as the training dataset for the Kazakhstan target dataset.</w:t>
      </w:r>
      <w:r>
        <w:rPr>
          <w:lang w:val="en-US"/>
        </w:rPr>
        <w:t xml:space="preserve"> </w:t>
      </w:r>
      <w:r>
        <w:rPr>
          <w:rStyle w:val="26"/>
          <w:lang w:val="en-US"/>
        </w:rPr>
        <w:t>The national average antibiotic consumption rates from four published articles ((Y. Semenova, A. Yergaliyeva, A. Aimurziyeva, A. Manatova, A. Kuntuganova, L. Makalkina, N. Aldiyarova, D. Semenov, L. Lim. A nationwide evaluation of antibiotic consumption in Kazakhstan from 2019 to 2023. Antibiotics. Vol. 13, Article 1123, 2024, https://doi.org/10.3390/antibiotics13121123.))</w:t>
      </w:r>
      <w:r>
        <w:rPr>
          <w:rStyle w:val="26"/>
          <w:vertAlign w:val="superscript"/>
          <w:lang w:val="en-US"/>
        </w:rPr>
        <w:t>,</w:t>
      </w:r>
      <w:r>
        <w:rPr>
          <w:rStyle w:val="26"/>
          <w:lang w:val="en-US"/>
        </w:rPr>
        <w:t>((G. Zhussupova, D. Utepova, G. Orazova, S. Zhaldybayeva, G. Skvirskaya, K. Tossekbayev. Evaluation of antibiotic use in Kazakhstan for the period 2017–2019 based on WHO Access, Watch and Reserve classification (AWaRe 2019). Antibiotics. Vol. 10, Article 58, 2021, https://doi.org/10.3390/antibiotics10010058.))</w:t>
      </w:r>
      <w:r>
        <w:rPr>
          <w:rStyle w:val="26"/>
          <w:vertAlign w:val="superscript"/>
          <w:lang w:val="en-US"/>
        </w:rPr>
        <w:t>,</w:t>
      </w:r>
      <w:r>
        <w:rPr>
          <w:rStyle w:val="26"/>
          <w:lang w:val="en-US"/>
        </w:rPr>
        <w:t>((L. Kassym, A. Kussainova, D. Semenov, A. Aimurziyeva, S. Uzbekova, Y. Semenova. National trends in azithromycin consumption during 2017–2023 in Kazakhstan: impact of the COVID-19 pandemic and the imperative for enhanced clinical guidelines. Scientific Reports. Vol. 15, Article 6309, 2025, https://doi.org/10.1038/s41598-025-91216-4.))</w:t>
      </w:r>
      <w:r>
        <w:rPr>
          <w:rStyle w:val="26"/>
          <w:vertAlign w:val="superscript"/>
          <w:lang w:val="en-US"/>
        </w:rPr>
        <w:t>,</w:t>
      </w:r>
      <w:r>
        <w:rPr>
          <w:rStyle w:val="26"/>
          <w:lang w:val="en-US"/>
        </w:rPr>
        <w:t>((L. Lim, L. Kassym, A. Kussainova, B. Aubakirova, Y. Semenova, A. Jakupi. Optimizing antibiotic stewardship and reducing antimicrobial resistance in Central Asia: a study protocol for evidence-based practice and policy. PLoS ONE. Vol. 20, Article e0307784, 2025, https://doi.org/10.1371/journal.pone.0307784.)) were used.</w:t>
      </w:r>
      <w:r>
        <w:rPr>
          <w:lang w:val="en-US"/>
        </w:rPr>
        <w:t xml:space="preserve"> </w:t>
      </w:r>
      <w:r>
        <w:rPr>
          <w:rStyle w:val="26"/>
          <w:lang w:val="en-US"/>
        </w:rPr>
        <w:t>The Kazakhstan feature grid was completed with six macroeconomic indicators (GDP per capita, health expenditure (% of GDP), population density, access to basic water, access to sanitation, and hospital beds per 1,000), annual mean surface temperature (all from World Bank Open Data, 2017–2023) ((World Bank. World Development Indicators [data set]. 2023, https://data.worldbank.org/.)), and WHO AWaRe Access percentages ((G. Zhussupova, D. Utepova, G. Orazova, S. Zhaldybayeva, G. Skvirskaya, K. Tossekbayev. Evaluation of antibiotic use in Kazakhstan for the period 2017–2019 based on WHO Access, Watch and Reserve classification (AWaRe 2019). Antibiotics. Vol. 10, Article 58, 2021, https://doi.org/10.3390/antibiotics10010058.))</w:t>
      </w:r>
      <w:r>
        <w:rPr>
          <w:rStyle w:val="26"/>
          <w:vertAlign w:val="superscript"/>
          <w:lang w:val="en-US"/>
        </w:rPr>
        <w:t>,</w:t>
      </w:r>
      <w:r>
        <w:rPr>
          <w:rStyle w:val="26"/>
          <w:lang w:val="en-US"/>
        </w:rPr>
        <w:t>((World Health Organization. AWaRe classification of antibiotics. 2023, https://www.who.int/publications/i/item/WHO-MHP-HPS-EML-2023.04.)).</w:t>
      </w:r>
      <w:r>
        <w:rPr>
          <w:lang w:val="en-US"/>
        </w:rPr>
        <w:t xml:space="preserve"> </w:t>
      </w:r>
      <w:r>
        <w:rPr>
          <w:rStyle w:val="26"/>
          <w:lang w:val="en-US"/>
        </w:rPr>
        <w:t>The features were only evaluated for their ability to produce resistance probability estimates and were not used in training or calibration of models; only published Kazakhstani resistance rates were evaluated for face validity, and they were never used in model training or calibration.</w:t>
      </w:r>
    </w:p>
    <w:p w14:paraId="168E2C97">
      <w:pPr>
        <w:pStyle w:val="13"/>
      </w:pPr>
      <w:r>
        <w:rPr>
          <w:rStyle w:val="14"/>
        </w:rPr>
        <w:t>2.2.2 Data Harmonization</w:t>
      </w:r>
    </w:p>
    <w:p w14:paraId="2FA1D641">
      <w:pPr>
        <w:pStyle w:val="13"/>
        <w:rPr>
          <w:lang w:val="en-US"/>
        </w:rPr>
      </w:pPr>
      <w:r>
        <w:rPr>
          <w:rStyle w:val="26"/>
          <w:lang w:val="en-US"/>
        </w:rPr>
        <w:t>Standard names were used for column names to ensure consistency, and inconsistencies in country names were resolved using a mapping table.</w:t>
      </w:r>
      <w:r>
        <w:rPr>
          <w:lang w:val="en-US"/>
        </w:rPr>
        <w:t xml:space="preserve"> </w:t>
      </w:r>
      <w:r>
        <w:rPr>
          <w:rStyle w:val="26"/>
          <w:lang w:val="en-US"/>
        </w:rPr>
        <w:t>Codes that were assigned to an antibiotic were discarded if the code was incorrectly entered as the name of an antibiotic.</w:t>
      </w:r>
      <w:r>
        <w:rPr>
          <w:lang w:val="en-US"/>
        </w:rPr>
        <w:t xml:space="preserve"> </w:t>
      </w:r>
      <w:r>
        <w:rPr>
          <w:rStyle w:val="26"/>
          <w:lang w:val="en-US"/>
        </w:rPr>
        <w:t>One of two forms of susceptibility classification was applied, depending on the source database.</w:t>
      </w:r>
      <w:r>
        <w:rPr>
          <w:lang w:val="en-US"/>
        </w:rPr>
        <w:t xml:space="preserve"> </w:t>
      </w:r>
      <w:r>
        <w:rPr>
          <w:rStyle w:val="26"/>
          <w:lang w:val="en-US"/>
        </w:rPr>
        <w:t>ATLAS provided pre-computed susceptible (S)/intermediate (I)/resistant (R) interpretations, which were applied directly and accounted for 95.1% of the total labelled results.</w:t>
      </w:r>
      <w:r>
        <w:rPr>
          <w:lang w:val="en-US"/>
        </w:rPr>
        <w:t xml:space="preserve"> </w:t>
      </w:r>
      <w:r>
        <w:rPr>
          <w:rStyle w:val="26"/>
          <w:lang w:val="en-US"/>
        </w:rPr>
        <w:t>SIDERO-WT and KEYSTONE reported raw minimum inhibitory concentration (MIC) data, which were binarized using organism-specific clinical breakpoints (EUCAST Clinical Breakpoints v13.0 (2023) ((European Committee on Antimicrobial Susceptibility Testing. Breakpoint tables for interpretation of MICs and zone diameters, version 13.0. 2023, http://www.eucast.org.)) where available, and CLSI M100-Ed33 (2023) for organism–antibiotic combinations not covered by EUCAST;.</w:t>
      </w:r>
      <w:r>
        <w:rPr>
          <w:lang w:val="en-US"/>
        </w:rPr>
        <w:t xml:space="preserve"> </w:t>
      </w:r>
      <w:r>
        <w:rPr>
          <w:rStyle w:val="26"/>
          <w:lang w:val="en-US"/>
        </w:rPr>
        <w:t>The remaining 4.9% of results were derived from MIC-based labels.</w:t>
      </w:r>
      <w:r>
        <w:rPr>
          <w:lang w:val="en-US"/>
        </w:rPr>
        <w:t xml:space="preserve"> </w:t>
      </w:r>
      <w:r>
        <w:rPr>
          <w:rStyle w:val="26"/>
          <w:lang w:val="en-US"/>
        </w:rPr>
        <w:t>Intermediate isolates were dropped to ensure a clear division between susceptible and resistant isolates.</w:t>
      </w:r>
      <w:r>
        <w:rPr>
          <w:lang w:val="en-US"/>
        </w:rPr>
        <w:t xml:space="preserve"> </w:t>
      </w:r>
      <w:r>
        <w:rPr>
          <w:rStyle w:val="26"/>
          <w:lang w:val="en-US"/>
        </w:rPr>
        <w:t>The names of antibiotics in the Kazakhstan dataset were converted to lowercase, and partial matching was performed with the global set of antibiotics; antibiotics that could not be matched were excluded from the dataset.</w:t>
      </w:r>
    </w:p>
    <w:p w14:paraId="4D54BC17">
      <w:pPr>
        <w:pStyle w:val="13"/>
        <w:rPr>
          <w:lang w:val="en-US"/>
        </w:rPr>
      </w:pPr>
      <w:r>
        <w:rPr>
          <w:rStyle w:val="14"/>
          <w:lang w:val="en-US"/>
        </w:rPr>
        <w:t>2.2.3 Feature Engineering</w:t>
      </w:r>
    </w:p>
    <w:p w14:paraId="1EA5F36C">
      <w:pPr>
        <w:pStyle w:val="13"/>
      </w:pPr>
      <w:r>
        <w:rPr>
          <w:rStyle w:val="26"/>
          <w:lang w:val="en-US"/>
        </w:rPr>
        <w:t>The AMR data were combined with macroeconomic and consumption features into a yearly country-level dataset.</w:t>
      </w:r>
      <w:r>
        <w:rPr>
          <w:lang w:val="en-US"/>
        </w:rPr>
        <w:t xml:space="preserve"> </w:t>
      </w:r>
      <w:r>
        <w:rPr>
          <w:rStyle w:val="26"/>
          <w:lang w:val="en-US"/>
        </w:rPr>
        <w:t>Features showing right skewness, where most countries have moderate values but a few wealthy countries have very high values (such as GDP and consumption data), were logarithmised using log(1 + x).</w:t>
      </w:r>
      <w:r>
        <w:rPr>
          <w:lang w:val="en-US"/>
        </w:rPr>
        <w:t xml:space="preserve"> </w:t>
      </w:r>
      <w:r>
        <w:rPr>
          <w:rStyle w:val="26"/>
          <w:lang w:val="en-US"/>
        </w:rPr>
        <w:t>For Kazakhstan, no population density data were available from the World Bank; therefore, this was calculated manually using population and surface area data.</w:t>
      </w:r>
      <w:r>
        <w:rPr>
          <w:lang w:val="en-US"/>
        </w:rPr>
        <w:t xml:space="preserve"> </w:t>
      </w:r>
      <w:r>
        <w:rPr>
          <w:rStyle w:val="26"/>
          <w:lang w:val="en-US"/>
        </w:rPr>
        <w:t>Chronological forward-filling was applied to missing values, and the global mean for each feature over the training period (prior to 2018) was used for any remaining missing values, so that no validation or test data influenced the filling.</w:t>
      </w:r>
      <w:r>
        <w:rPr>
          <w:lang w:val="en-US"/>
        </w:rPr>
        <w:t xml:space="preserve"> </w:t>
      </w:r>
      <w:r>
        <w:rPr>
          <w:rStyle w:val="26"/>
          <w:lang w:val="en-US"/>
        </w:rPr>
        <w:t>The final feature set comprised 13 features: 3 categorical (organism, antibiotic, antibiotic class) and 10 numeric (year, 9 macroeconomic features).</w:t>
      </w:r>
      <w:r>
        <w:rPr>
          <w:lang w:val="en-US"/>
        </w:rPr>
        <w:t xml:space="preserve"> </w:t>
      </w:r>
      <w:r>
        <w:rPr>
          <w:rStyle w:val="26"/>
          <w:lang w:val="en-US"/>
        </w:rPr>
        <w:t>When applied to the entire training set, forward-filling resolved most missing macro-feature values; global mean imputation was required for a median of 9.4% of country-year observations per feature, with the highest missingness in aware access pct (86.2%, 53 countries) and consumption DDD per class (57.9%, 52 countries).</w:t>
      </w:r>
      <w:r>
        <w:rPr>
          <w:lang w:val="en-US"/>
        </w:rPr>
        <w:t xml:space="preserve"> </w:t>
      </w:r>
      <w:r>
        <w:rPr>
          <w:rStyle w:val="26"/>
          <w:lang w:val="en-US"/>
        </w:rPr>
        <w:t>Core World Bank indicators (GDP per capita, population density, health expenditure) had the lowest missingness (7.9%), reflecting the fewest countries lacking World Bank reporting coverage.</w:t>
      </w:r>
      <w:r>
        <w:rPr>
          <w:lang w:val="en-US"/>
        </w:rPr>
        <w:t xml:space="preserve"> </w:t>
      </w:r>
      <w:r>
        <w:rPr>
          <w:rStyle w:val="26"/>
        </w:rPr>
        <w:t>All features are listed in Table 1.</w:t>
      </w:r>
    </w:p>
    <w:tbl>
      <w:tblPr>
        <w:tblStyle w:val="19"/>
        <w:tblW w:w="888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245"/>
        <w:gridCol w:w="4635"/>
      </w:tblGrid>
      <w:tr w14:paraId="3DA173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jc w:val="center"/>
        </w:trPr>
        <w:tc>
          <w:tcPr>
            <w:tcW w:w="4245"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59E09FFE">
            <w:pPr>
              <w:spacing w:after="20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Feature Type</w:t>
            </w:r>
          </w:p>
        </w:tc>
        <w:tc>
          <w:tcPr>
            <w:tcW w:w="4635"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4D9608BF">
            <w:pPr>
              <w:spacing w:after="20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Features</w:t>
            </w:r>
          </w:p>
        </w:tc>
      </w:tr>
      <w:tr w14:paraId="288AED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05" w:hRule="atLeast"/>
          <w:jc w:val="center"/>
        </w:trPr>
        <w:tc>
          <w:tcPr>
            <w:tcW w:w="4245" w:type="dxa"/>
            <w:tcBorders>
              <w:top w:val="single" w:color="000000" w:sz="8" w:space="0"/>
              <w:left w:val="single" w:color="000000" w:sz="8" w:space="0"/>
              <w:bottom w:val="single" w:color="D3D3D3" w:sz="8" w:space="0"/>
              <w:right w:val="single" w:color="000000" w:sz="8" w:space="0"/>
            </w:tcBorders>
            <w:shd w:val="clear" w:color="auto" w:fill="FFFFFF"/>
            <w:tcMar>
              <w:top w:w="120" w:type="dxa"/>
              <w:left w:w="0" w:type="dxa"/>
              <w:bottom w:w="120" w:type="dxa"/>
              <w:right w:w="0" w:type="dxa"/>
            </w:tcMar>
          </w:tcPr>
          <w:p w14:paraId="48FCC8DE">
            <w:pPr>
              <w:spacing w:after="20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Categorical</w:t>
            </w:r>
          </w:p>
        </w:tc>
        <w:tc>
          <w:tcPr>
            <w:tcW w:w="4635" w:type="dxa"/>
            <w:tcBorders>
              <w:top w:val="single" w:color="000000" w:sz="8" w:space="0"/>
              <w:left w:val="single" w:color="000000" w:sz="8" w:space="0"/>
              <w:bottom w:val="single" w:color="D3D3D3" w:sz="8" w:space="0"/>
              <w:right w:val="single" w:color="000000" w:sz="8" w:space="0"/>
            </w:tcBorders>
            <w:shd w:val="clear" w:color="auto" w:fill="FFFFFF"/>
            <w:tcMar>
              <w:top w:w="120" w:type="dxa"/>
              <w:left w:w="0" w:type="dxa"/>
              <w:bottom w:w="120" w:type="dxa"/>
              <w:right w:w="0" w:type="dxa"/>
            </w:tcMar>
          </w:tcPr>
          <w:p w14:paraId="2DC6586A">
            <w:pPr>
              <w:spacing w:after="20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organism  •  antibiotic  •  antibiotic_class</w:t>
            </w:r>
          </w:p>
        </w:tc>
      </w:tr>
      <w:tr w14:paraId="5BA9BB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220" w:hRule="atLeast"/>
          <w:jc w:val="center"/>
        </w:trPr>
        <w:tc>
          <w:tcPr>
            <w:tcW w:w="4245" w:type="dxa"/>
            <w:tcBorders>
              <w:top w:val="single" w:color="000000" w:sz="8" w:space="0"/>
              <w:left w:val="single" w:color="000000" w:sz="8" w:space="0"/>
              <w:bottom w:val="single" w:color="D3D3D3" w:sz="8" w:space="0"/>
              <w:right w:val="single" w:color="000000" w:sz="8" w:space="0"/>
            </w:tcBorders>
            <w:shd w:val="clear" w:color="auto" w:fill="FFFFFF"/>
            <w:tcMar>
              <w:top w:w="120" w:type="dxa"/>
              <w:left w:w="0" w:type="dxa"/>
              <w:bottom w:w="120" w:type="dxa"/>
              <w:right w:w="0" w:type="dxa"/>
            </w:tcMar>
          </w:tcPr>
          <w:p w14:paraId="39BBDA5C">
            <w:pPr>
              <w:spacing w:after="20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Numerical</w:t>
            </w:r>
          </w:p>
        </w:tc>
        <w:tc>
          <w:tcPr>
            <w:tcW w:w="4635" w:type="dxa"/>
            <w:tcBorders>
              <w:top w:val="single" w:color="000000" w:sz="8" w:space="0"/>
              <w:left w:val="single" w:color="000000" w:sz="8" w:space="0"/>
              <w:bottom w:val="single" w:color="D3D3D3" w:sz="8" w:space="0"/>
              <w:right w:val="single" w:color="000000" w:sz="8" w:space="0"/>
            </w:tcBorders>
            <w:shd w:val="clear" w:color="auto" w:fill="FFFFFF"/>
            <w:tcMar>
              <w:top w:w="120" w:type="dxa"/>
              <w:left w:w="0" w:type="dxa"/>
              <w:bottom w:w="120" w:type="dxa"/>
              <w:right w:w="0" w:type="dxa"/>
            </w:tcMar>
          </w:tcPr>
          <w:p w14:paraId="65AA4BA0">
            <w:pPr>
              <w:spacing w:after="20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year,  log_gdp_per_capita, health_expenditure_pct_gdp,  population_density_per_sq_km,  log_consumption_ddd_per_class,  sanitation_access_pct,  water_access_pct,  hospital_beds_per_1000,  mean_temp_celsius, aware_access_pct</w:t>
            </w:r>
          </w:p>
        </w:tc>
      </w:tr>
    </w:tbl>
    <w:p w14:paraId="78E79FB7">
      <w:pPr>
        <w:spacing w:after="160" w:line="240" w:lineRule="auto"/>
        <w:jc w:val="center"/>
        <w:rPr>
          <w:rFonts w:ascii="Times New Roman" w:hAnsi="Times New Roman" w:eastAsia="Times New Roman" w:cs="Times New Roman"/>
          <w:i/>
          <w:iCs/>
          <w:sz w:val="24"/>
          <w:szCs w:val="24"/>
          <w:highlight w:val="white"/>
        </w:rPr>
      </w:pPr>
      <w:r>
        <w:rPr>
          <w:rFonts w:ascii="Times New Roman" w:hAnsi="Times New Roman" w:eastAsia="Times New Roman" w:cs="Times New Roman"/>
          <w:i/>
          <w:iCs/>
          <w:sz w:val="24"/>
          <w:szCs w:val="24"/>
          <w:highlight w:val="white"/>
        </w:rPr>
        <w:t xml:space="preserve">Table 1: Final feature set used for model training and inference. </w:t>
      </w:r>
    </w:p>
    <w:p w14:paraId="0A16377C">
      <w:pPr>
        <w:pStyle w:val="13"/>
        <w:rPr>
          <w:lang w:val="en-US"/>
        </w:rPr>
      </w:pPr>
      <w:r>
        <w:rPr>
          <w:rStyle w:val="14"/>
          <w:lang w:val="en-US"/>
        </w:rPr>
        <w:t>2.3 Cross-Country Generalization Design</w:t>
      </w:r>
    </w:p>
    <w:p w14:paraId="1A8B5835">
      <w:pPr>
        <w:pStyle w:val="13"/>
        <w:rPr>
          <w:lang w:val="en-US"/>
        </w:rPr>
      </w:pPr>
      <w:r>
        <w:rPr>
          <w:rStyle w:val="26"/>
          <w:rFonts w:hint="default"/>
          <w:lang w:val="en-US"/>
        </w:rPr>
        <w:t>Primary model</w:t>
      </w:r>
      <w:r>
        <w:rPr>
          <w:rStyle w:val="26"/>
          <w:lang w:val="en-US"/>
        </w:rPr>
        <w:t xml:space="preserve"> was constructed based on global AMR data and applied to Kazakhstan as an unseen region, assuming that no information about AMR status in Kazakhstan itself was known, but only proxy variables related to macroeconomic indicators and antibiotic consumption.</w:t>
      </w:r>
      <w:r>
        <w:rPr>
          <w:lang w:val="en-US"/>
        </w:rPr>
        <w:t xml:space="preserve"> </w:t>
      </w:r>
      <w:r>
        <w:rPr>
          <w:rStyle w:val="26"/>
          <w:lang w:val="en-US"/>
        </w:rPr>
        <w:t>National antibiotic consumption data (defined daily doses per 1,000 inhabitants per day, 2017–2023) were combined with the six priority pathogens identified by WHO (</w:t>
      </w:r>
      <w:r>
        <w:rPr>
          <w:rStyle w:val="11"/>
          <w:lang w:val="en-US"/>
        </w:rPr>
        <w:t>E. coli</w:t>
      </w:r>
      <w:r>
        <w:rPr>
          <w:rStyle w:val="26"/>
          <w:lang w:val="en-US"/>
        </w:rPr>
        <w:t xml:space="preserve">, </w:t>
      </w:r>
      <w:r>
        <w:rPr>
          <w:rStyle w:val="11"/>
          <w:lang w:val="en-US"/>
        </w:rPr>
        <w:t>K. pneumoniae</w:t>
      </w:r>
      <w:r>
        <w:rPr>
          <w:rStyle w:val="26"/>
          <w:lang w:val="en-US"/>
        </w:rPr>
        <w:t xml:space="preserve">, </w:t>
      </w:r>
      <w:r>
        <w:rPr>
          <w:rStyle w:val="11"/>
          <w:lang w:val="en-US"/>
        </w:rPr>
        <w:t>S. aureus</w:t>
      </w:r>
      <w:r>
        <w:rPr>
          <w:rStyle w:val="26"/>
          <w:lang w:val="en-US"/>
        </w:rPr>
        <w:t xml:space="preserve">, </w:t>
      </w:r>
      <w:r>
        <w:rPr>
          <w:rStyle w:val="11"/>
          <w:lang w:val="en-US"/>
        </w:rPr>
        <w:t>P. aeruginosa</w:t>
      </w:r>
      <w:r>
        <w:rPr>
          <w:rStyle w:val="26"/>
          <w:lang w:val="en-US"/>
        </w:rPr>
        <w:t xml:space="preserve">, </w:t>
      </w:r>
      <w:r>
        <w:rPr>
          <w:rStyle w:val="11"/>
          <w:lang w:val="en-US"/>
        </w:rPr>
        <w:t>A. baumannii</w:t>
      </w:r>
      <w:r>
        <w:rPr>
          <w:rStyle w:val="26"/>
          <w:lang w:val="en-US"/>
        </w:rPr>
        <w:t xml:space="preserve">, </w:t>
      </w:r>
      <w:r>
        <w:rPr>
          <w:rStyle w:val="11"/>
          <w:lang w:val="en-US"/>
        </w:rPr>
        <w:t>E. faecium</w:t>
      </w:r>
      <w:r>
        <w:rPr>
          <w:rStyle w:val="26"/>
          <w:lang w:val="en-US"/>
        </w:rPr>
        <w:t>) to produce 480 organism–antibiotic–year inferences for Kazakhstan's inference grid.</w:t>
      </w:r>
      <w:r>
        <w:rPr>
          <w:lang w:val="en-US"/>
        </w:rPr>
        <w:t xml:space="preserve"> </w:t>
      </w:r>
      <w:r>
        <w:rPr>
          <w:rStyle w:val="26"/>
          <w:lang w:val="en-US"/>
        </w:rPr>
        <w:t>All features were imputed and log-transformed as was done with the worldwide dataset (Sections 2.2.2–2.2.3), though the pharmacological class was also constructed.</w:t>
      </w:r>
    </w:p>
    <w:p w14:paraId="4560209F">
      <w:pPr>
        <w:pStyle w:val="13"/>
        <w:rPr>
          <w:lang w:val="en-US"/>
        </w:rPr>
      </w:pPr>
      <w:r>
        <w:rPr>
          <w:rStyle w:val="26"/>
          <w:lang w:val="en-US"/>
        </w:rPr>
        <w:t xml:space="preserve">The </w:t>
      </w:r>
      <w:r>
        <w:rPr>
          <w:rStyle w:val="26"/>
          <w:rFonts w:hint="default"/>
          <w:lang w:val="en-US"/>
        </w:rPr>
        <w:t>primary model was implemented</w:t>
      </w:r>
      <w:r>
        <w:rPr>
          <w:rStyle w:val="26"/>
          <w:lang w:val="en-US"/>
        </w:rPr>
        <w:t xml:space="preserve"> with the leave-one-country-out (LOCO) method, where all remaining 85 countries were used for model training but not Kazakhstan.</w:t>
      </w:r>
      <w:r>
        <w:rPr>
          <w:lang w:val="en-US"/>
        </w:rPr>
        <w:t xml:space="preserve"> </w:t>
      </w:r>
      <w:r>
        <w:rPr>
          <w:rStyle w:val="26"/>
          <w:lang w:val="en-US"/>
        </w:rPr>
        <w:t>For sensitivity assessment related to the choice of reference population, a post-Soviet model (Russia, Ukraine, Belarus, Lithuania, Latvia, Estonia) ((Y. Semenova, A. Yergaliyeva, A. Aimurziyeva, A. Manatova, A. Kuntuganova, L. Makalkina, N. Aldiyarova, D. Semenov, L. Lim. A nationwide evaluation of antibiotic consumption in Kazakhstan from 2019 to 2023. Antibiotics. Vol. 13, Article 1123, 2024, https://doi.org/10.3390/antibiotics13121123.))</w:t>
      </w:r>
      <w:r>
        <w:rPr>
          <w:rStyle w:val="26"/>
          <w:vertAlign w:val="superscript"/>
          <w:lang w:val="en-US"/>
        </w:rPr>
        <w:t>,</w:t>
      </w:r>
      <w:r>
        <w:rPr>
          <w:rStyle w:val="26"/>
          <w:lang w:val="en-US"/>
        </w:rPr>
        <w:t>((Z. Kosherova, D. Zhazykhbayeva, A. Aimurziyeva, D. Bayesheva, Y. Semenova. The implementation of antimicrobial consumption surveillance and stewardship in human healthcare in post-Soviet states: a systematic review. Antibiotics. Vol. 14, Article 749, 2025, https://doi.org/10.3390/antibiotics14080749.)) was also fitted, drawn from countries that share the legacy of the Soviet healthcare system.</w:t>
      </w:r>
      <w:r>
        <w:rPr>
          <w:lang w:val="en-US"/>
        </w:rPr>
        <w:t xml:space="preserve"> </w:t>
      </w:r>
      <w:r>
        <w:rPr>
          <w:rStyle w:val="26"/>
          <w:lang w:val="en-US"/>
        </w:rPr>
        <w:t>A data-driven structural-peer group was further explored using k-means clustering of standardized country-level macroeconomic and consumption indicators (k = 6); however, Kazakhstan emerged as a singleton cluster, with its closest neighbours being mostly post-Soviet and Eastern European middle-income countries.</w:t>
      </w:r>
      <w:r>
        <w:rPr>
          <w:lang w:val="en-US"/>
        </w:rPr>
        <w:t xml:space="preserve"> </w:t>
      </w:r>
      <w:r>
        <w:rPr>
          <w:rStyle w:val="26"/>
          <w:lang w:val="en-US"/>
        </w:rPr>
        <w:t>As no distinct peer group could be formed, no structural-peer comparison was conducted, and inference relied on the global LOCO model.</w:t>
      </w:r>
    </w:p>
    <w:p w14:paraId="3E38846E">
      <w:pPr>
        <w:pStyle w:val="13"/>
        <w:rPr>
          <w:lang w:val="en-US"/>
        </w:rPr>
      </w:pPr>
      <w:r>
        <w:rPr>
          <w:rStyle w:val="14"/>
          <w:lang w:val="en-US"/>
        </w:rPr>
        <w:t>2.4 Model Development</w:t>
      </w:r>
    </w:p>
    <w:p w14:paraId="039C4B9E">
      <w:pPr>
        <w:pStyle w:val="13"/>
        <w:rPr>
          <w:lang w:val="en-US"/>
        </w:rPr>
      </w:pPr>
      <w:r>
        <w:rPr>
          <w:rStyle w:val="26"/>
          <w:lang w:val="en-US"/>
        </w:rPr>
        <w:t>The following algorithms were experimented with: gradient-boosted models (LightGBM, CatBoost) and ensemble/interpretable baselines (Random Forest, Logistic Regression).</w:t>
      </w:r>
      <w:r>
        <w:rPr>
          <w:lang w:val="en-US"/>
        </w:rPr>
        <w:t xml:space="preserve"> </w:t>
      </w:r>
      <w:r>
        <w:rPr>
          <w:rStyle w:val="26"/>
          <w:lang w:val="en-US"/>
        </w:rPr>
        <w:t>For the gradient-boosted models, positive-class weight (scale_pos_weight) was used to handle class imbalance (resistant/susceptible ≈ 1:4), while balanced class weights were applied for Logistic Regression and Random Forest.</w:t>
      </w:r>
      <w:r>
        <w:rPr>
          <w:lang w:val="en-US"/>
        </w:rPr>
        <w:t xml:space="preserve"> </w:t>
      </w:r>
      <w:r>
        <w:rPr>
          <w:rStyle w:val="26"/>
          <w:lang w:val="en-US"/>
        </w:rPr>
        <w:t>Owing to computational constraints, hyperparameters were tuned once on the full global dataset rather than separately within each LOCO fold.</w:t>
      </w:r>
      <w:r>
        <w:rPr>
          <w:lang w:val="en-US"/>
        </w:rPr>
        <w:t xml:space="preserve"> </w:t>
      </w:r>
      <w:r>
        <w:rPr>
          <w:rStyle w:val="26"/>
          <w:lang w:val="en-US"/>
        </w:rPr>
        <w:t xml:space="preserve">However, this is not a major concern </w:t>
      </w:r>
      <w:r>
        <w:rPr>
          <w:rStyle w:val="26"/>
          <w:rFonts w:hint="default"/>
          <w:lang w:val="en-US"/>
        </w:rPr>
        <w:t>as</w:t>
      </w:r>
      <w:r>
        <w:rPr>
          <w:rStyle w:val="26"/>
          <w:lang w:val="en-US"/>
        </w:rPr>
        <w:t xml:space="preserve"> no single country accounts for more than 5</w:t>
      </w:r>
      <w:r>
        <w:rPr>
          <w:rStyle w:val="26"/>
          <w:rFonts w:hint="default"/>
          <w:lang w:val="en-US"/>
        </w:rPr>
        <w:t xml:space="preserve"> %</w:t>
      </w:r>
      <w:r>
        <w:rPr>
          <w:rStyle w:val="26"/>
          <w:lang w:val="en-US"/>
        </w:rPr>
        <w:t xml:space="preserve"> of the total 85 training countries.</w:t>
      </w:r>
    </w:p>
    <w:p w14:paraId="449A07CA">
      <w:pPr>
        <w:pStyle w:val="13"/>
        <w:rPr>
          <w:lang w:val="en-US"/>
        </w:rPr>
      </w:pPr>
      <w:r>
        <w:rPr>
          <w:rStyle w:val="14"/>
          <w:lang w:val="en-US"/>
        </w:rPr>
        <w:t>2.5 Evaluation Methods</w:t>
      </w:r>
    </w:p>
    <w:p w14:paraId="5ACD543A">
      <w:pPr>
        <w:pStyle w:val="13"/>
        <w:rPr>
          <w:lang w:val="en-US"/>
        </w:rPr>
      </w:pPr>
      <w:r>
        <w:rPr>
          <w:rStyle w:val="14"/>
          <w:lang w:val="en-US"/>
        </w:rPr>
        <w:t>2.5.1 General Evaluation Metrics</w:t>
      </w:r>
    </w:p>
    <w:p w14:paraId="2F7602EB">
      <w:pPr>
        <w:pStyle w:val="13"/>
        <w:rPr>
          <w:lang w:val="en-US"/>
        </w:rPr>
      </w:pPr>
      <w:r>
        <w:rPr>
          <w:rStyle w:val="26"/>
          <w:lang w:val="en-US"/>
        </w:rPr>
        <w:t>The following metrics were used to assess the models' performance: AUC (Area Under the Curve), AUPRC (Area Under the Precision-Recall Curve), recall, F1 score, calibration-based metrics (Brier score and BSS: Brier Skill Score), and ECE (Expected Calibration Error).</w:t>
      </w:r>
      <w:r>
        <w:rPr>
          <w:lang w:val="en-US"/>
        </w:rPr>
        <w:t xml:space="preserve"> </w:t>
      </w:r>
      <w:r>
        <w:rPr>
          <w:rStyle w:val="26"/>
          <w:lang w:val="en-US"/>
        </w:rPr>
        <w:t>For this reason, recall and AUPRC were selected as co-primary metrics, as resistant infections may have clinical implications because falsely treated resistant infections may lead to further spread of resistance, while falsely considered "susceptible" infections do not ((H. He, E. A. Garcia. Learning from imbalanced data. IEEE Transactions on Knowledge and Data Engineering. Vol. 21, pg. 1263–1284, 2009, https://doi.org/10.1109/TKDE.2008.239.)).</w:t>
      </w:r>
    </w:p>
    <w:p w14:paraId="70B4A0AA">
      <w:pPr>
        <w:pStyle w:val="13"/>
        <w:rPr>
          <w:lang w:val="en-US"/>
        </w:rPr>
      </w:pPr>
      <w:r>
        <w:rPr>
          <w:rStyle w:val="14"/>
          <w:lang w:val="en-US"/>
        </w:rPr>
        <w:t>2.5.2 Calibration Methods</w:t>
      </w:r>
    </w:p>
    <w:p w14:paraId="77E7E869">
      <w:pPr>
        <w:pStyle w:val="13"/>
        <w:rPr>
          <w:lang w:val="en-US"/>
        </w:rPr>
      </w:pPr>
      <w:r>
        <w:rPr>
          <w:rStyle w:val="26"/>
          <w:lang w:val="en-US"/>
        </w:rPr>
        <w:t>The degree of calibration was evaluated using ECE and BSS.</w:t>
      </w:r>
      <w:r>
        <w:rPr>
          <w:lang w:val="en-US"/>
        </w:rPr>
        <w:t xml:space="preserve"> </w:t>
      </w:r>
      <w:r>
        <w:rPr>
          <w:rStyle w:val="26"/>
          <w:lang w:val="en-US"/>
        </w:rPr>
        <w:t>Isotonic regression was performed on the validation cohort (2019–2020), while the test set and Kazakhstan inference sets were calibrated by isotonic regression.</w:t>
      </w:r>
      <w:r>
        <w:rPr>
          <w:lang w:val="en-US"/>
        </w:rPr>
        <w:t xml:space="preserve"> </w:t>
      </w:r>
      <w:r>
        <w:rPr>
          <w:rStyle w:val="26"/>
          <w:lang w:val="en-US"/>
        </w:rPr>
        <w:t>Calibration data were mainly gathered from high-income countries, which might lead to domain shift when transferring the calibration data to Kazakhstan's dataset; this can be mitigated by the post-Soviet cluster, considering the similarities in the macro-feature space.</w:t>
      </w:r>
    </w:p>
    <w:p w14:paraId="7C9B7EE8">
      <w:pPr>
        <w:pStyle w:val="13"/>
        <w:rPr>
          <w:lang w:val="en-US"/>
        </w:rPr>
      </w:pPr>
      <w:r>
        <w:rPr>
          <w:rStyle w:val="14"/>
          <w:lang w:val="en-US"/>
        </w:rPr>
        <w:t>2.5.3 Pairwise Model Comparison Method</w:t>
      </w:r>
    </w:p>
    <w:p w14:paraId="469DFA74">
      <w:pPr>
        <w:pStyle w:val="13"/>
        <w:rPr>
          <w:rFonts w:hint="default"/>
          <w:lang w:val="en-US"/>
        </w:rPr>
      </w:pPr>
      <w:r>
        <w:rPr>
          <w:rStyle w:val="26"/>
          <w:lang w:val="en-US"/>
        </w:rPr>
        <w:t>Six paired comparisons of AUCs were performed between the four candidate models using the DeLong test ((E. R. DeLong, D. M. DeLong, D. L. Clarke-Pearson. Comparing the areas under two or more correlated receiver operating characteristic curves: a nonparametric approach. Biometrics. Vol. 44, pg. 837–845, 1988.)).</w:t>
      </w:r>
      <w:r>
        <w:rPr>
          <w:lang w:val="en-US"/>
        </w:rPr>
        <w:t xml:space="preserve"> </w:t>
      </w:r>
      <w:r>
        <w:rPr>
          <w:rStyle w:val="26"/>
          <w:lang w:val="en-US"/>
        </w:rPr>
        <w:t>The main procedure was Benjamini-Hochberg FDR correction: a collection of 6 raw p-values (one for each test) was assembled, and each p-value was corrected for FDR using the standard step-up procedure (p-values were ranked, and each was compared to the modified critical value 0.05 × (i/6), where i is the rank).</w:t>
      </w:r>
      <w:r>
        <w:rPr>
          <w:lang w:val="en-US"/>
        </w:rPr>
        <w:t xml:space="preserve"> </w:t>
      </w:r>
      <w:r>
        <w:rPr>
          <w:rStyle w:val="26"/>
          <w:lang w:val="en-US"/>
        </w:rPr>
        <w:t xml:space="preserve">At </w:t>
      </w:r>
      <w:r>
        <w:rPr>
          <w:rStyle w:val="26"/>
        </w:rPr>
        <w:t>α</w:t>
      </w:r>
      <w:r>
        <w:rPr>
          <w:rStyle w:val="26"/>
          <w:lang w:val="en-US"/>
        </w:rPr>
        <w:t xml:space="preserve"> = 0.05, significance was determined based on the corrected p-value.</w:t>
      </w:r>
      <w:r>
        <w:rPr>
          <w:lang w:val="en-US"/>
        </w:rPr>
        <w:t xml:space="preserve"> </w:t>
      </w:r>
      <w:r>
        <w:rPr>
          <w:rStyle w:val="26"/>
          <w:lang w:val="en-US"/>
        </w:rPr>
        <w:t>For a full picture, Bonferroni-corrected p-values (typically a conservative correction with a large n) are also reported</w:t>
      </w:r>
      <w:r>
        <w:rPr>
          <w:rStyle w:val="26"/>
          <w:rFonts w:hint="default"/>
          <w:lang w:val="en-US"/>
        </w:rPr>
        <w:t xml:space="preserve"> along with Benjamini-Hochberg FDR correction.</w:t>
      </w:r>
    </w:p>
    <w:p w14:paraId="5184D961">
      <w:pPr>
        <w:pStyle w:val="13"/>
        <w:rPr>
          <w:lang w:val="en-US"/>
        </w:rPr>
      </w:pPr>
      <w:r>
        <w:rPr>
          <w:rStyle w:val="14"/>
          <w:lang w:val="en-US"/>
        </w:rPr>
        <w:t>2.5.4 Validation Methods</w:t>
      </w:r>
    </w:p>
    <w:p w14:paraId="560BAC51">
      <w:pPr>
        <w:pStyle w:val="13"/>
        <w:rPr>
          <w:lang w:val="en-US"/>
        </w:rPr>
      </w:pPr>
      <w:r>
        <w:rPr>
          <w:rStyle w:val="26"/>
          <w:lang w:val="en-US"/>
        </w:rPr>
        <w:t>For geographic generalization testing, we utilized LOCO cross-validation (with early stopping during the years 2019–2020) and four-country hold-out testing (in which each of the four countries had no data in the training set and no data from the held-out set were used for early stopping, and each country was held out separately to test the models with its 100% dataset).</w:t>
      </w:r>
    </w:p>
    <w:p w14:paraId="1EDF6AFD">
      <w:pPr>
        <w:pStyle w:val="13"/>
        <w:rPr>
          <w:lang w:val="en-US"/>
        </w:rPr>
      </w:pPr>
      <w:r>
        <w:rPr>
          <w:rStyle w:val="26"/>
          <w:lang w:val="en-US"/>
        </w:rPr>
        <w:t>A temporal robustness evaluation technique was adopted: rolling-origin (expanding-window) cross-validation.</w:t>
      </w:r>
      <w:r>
        <w:rPr>
          <w:lang w:val="en-US"/>
        </w:rPr>
        <w:t xml:space="preserve"> </w:t>
      </w:r>
      <w:r>
        <w:rPr>
          <w:rStyle w:val="26"/>
          <w:lang w:val="en-US"/>
        </w:rPr>
        <w:t>The training set consisted of all data up to the year specified, and the validation set consisted of data from the following year.</w:t>
      </w:r>
      <w:r>
        <w:rPr>
          <w:lang w:val="en-US"/>
        </w:rPr>
        <w:t xml:space="preserve"> </w:t>
      </w:r>
      <w:r>
        <w:rPr>
          <w:rStyle w:val="26"/>
          <w:lang w:val="en-US"/>
        </w:rPr>
        <w:t>Thus, validation data were always in the future relative to the training data (≤2016 → 2017, ≤2017 → 2018, ≤2018 → 2019, ≤2019 → 2020).</w:t>
      </w:r>
      <w:r>
        <w:rPr>
          <w:lang w:val="en-US"/>
        </w:rPr>
        <w:t xml:space="preserve"> </w:t>
      </w:r>
      <w:r>
        <w:rPr>
          <w:rStyle w:val="26"/>
          <w:lang w:val="en-US"/>
        </w:rPr>
        <w:t>The leakage-safe discipline of the main pipeline was followed: parameters (imputation, scale_pos_weight, isotonic calibration) were re-derived using the training data from each fold, and early stopping was applied to an inner subset of the training years, not the validation year.</w:t>
      </w:r>
      <w:r>
        <w:rPr>
          <w:lang w:val="en-US"/>
        </w:rPr>
        <w:t xml:space="preserve"> </w:t>
      </w:r>
      <w:r>
        <w:rPr>
          <w:rStyle w:val="26"/>
          <w:lang w:val="en-US"/>
        </w:rPr>
        <w:t>Discrimination (AUC, AUPRC) was computed from raw scores, while calibration-dependent measures were computed from probabilities after isotonic calibration.</w:t>
      </w:r>
    </w:p>
    <w:p w14:paraId="7E9C111B">
      <w:pPr>
        <w:pStyle w:val="13"/>
        <w:rPr>
          <w:lang w:val="en-US"/>
        </w:rPr>
      </w:pPr>
      <w:r>
        <w:rPr>
          <w:rStyle w:val="26"/>
          <w:lang w:val="en-US"/>
        </w:rPr>
        <w:t>Spearman's rank correlation analysis was used to examine the trend in predicted resistance in Kazakhstan, with false-discovery rate (FDR) correction based on the Benjamini-Hochberg procedure at the organism level (2017–2023) for the six pathogens.</w:t>
      </w:r>
    </w:p>
    <w:p w14:paraId="4FD05E5C">
      <w:pPr>
        <w:pStyle w:val="13"/>
        <w:rPr>
          <w:lang w:val="en-US"/>
        </w:rPr>
      </w:pPr>
      <w:r>
        <w:rPr>
          <w:rStyle w:val="14"/>
          <w:lang w:val="en-US"/>
        </w:rPr>
        <w:t>2.5.5 Feature Analysis Methods</w:t>
      </w:r>
    </w:p>
    <w:p w14:paraId="28ECC8F8">
      <w:pPr>
        <w:pStyle w:val="13"/>
        <w:rPr>
          <w:lang w:val="en-US"/>
        </w:rPr>
      </w:pPr>
      <w:r>
        <w:rPr>
          <w:rStyle w:val="26"/>
          <w:lang w:val="en-US"/>
        </w:rPr>
        <w:t>Feature importance was computed for the CatBoost model using the PredictionValuesChange metric, while SHAP values were computed on the stratified test set (n = 5,000) using TreeExplainer ((S. M. Lundberg, S.-I. Lee. A unified approach to interpreting model predictions. Advances in Neural Information Processing Systems. Vol. 30, pg. 4765–4774, 2017.)).</w:t>
      </w:r>
      <w:r>
        <w:rPr>
          <w:lang w:val="en-US"/>
        </w:rPr>
        <w:t xml:space="preserve"> </w:t>
      </w:r>
      <w:r>
        <w:rPr>
          <w:rStyle w:val="26"/>
          <w:lang w:val="en-US"/>
        </w:rPr>
        <w:t>Note that the two measures can yield different rankings when there is temporal correlation among features: PredictionValuesChange measures the difference across all predictions, and SHAP measures the marginal contribution of each feature.</w:t>
      </w:r>
    </w:p>
    <w:p w14:paraId="032888DD">
      <w:pPr>
        <w:pStyle w:val="13"/>
        <w:rPr>
          <w:lang w:val="en-US"/>
        </w:rPr>
      </w:pPr>
      <w:r>
        <w:rPr>
          <w:rStyle w:val="11"/>
          <w:b/>
          <w:bCs/>
          <w:lang w:val="en-US"/>
        </w:rPr>
        <w:t> </w:t>
      </w:r>
      <w:r>
        <w:rPr>
          <w:rStyle w:val="14"/>
          <w:lang w:val="en-US"/>
        </w:rPr>
        <w:t>2.5.6 Face Validity Method</w:t>
      </w:r>
    </w:p>
    <w:p w14:paraId="3F64312C">
      <w:pPr>
        <w:pStyle w:val="13"/>
        <w:rPr>
          <w:lang w:val="en-US"/>
        </w:rPr>
      </w:pPr>
      <w:r>
        <w:rPr>
          <w:rStyle w:val="26"/>
          <w:lang w:val="en-US"/>
        </w:rPr>
        <w:t>The primary model's calibrated resistance probabilities were compared with the resistance rates reported in published clinical studies in Kazakhstan to check face validity.</w:t>
      </w:r>
      <w:r>
        <w:rPr>
          <w:lang w:val="en-US"/>
        </w:rPr>
        <w:t xml:space="preserve"> </w:t>
      </w:r>
      <w:r>
        <w:rPr>
          <w:rStyle w:val="26"/>
          <w:lang w:val="en-US"/>
        </w:rPr>
        <w:t>Antibiotic–pathogen combinations were chosen that were reported with explicit resistance percentages for the pathogen with clear endpoints, and combinations of these antibiotic–pathogen relations were present in the inference grid.</w:t>
      </w:r>
      <w:r>
        <w:rPr>
          <w:lang w:val="en-US"/>
        </w:rPr>
        <w:t xml:space="preserve"> </w:t>
      </w:r>
      <w:r>
        <w:rPr>
          <w:rStyle w:val="26"/>
          <w:lang w:val="en-US"/>
        </w:rPr>
        <w:t>For each of the combinations, the predicted value was the average calibrated probability for the years in question.</w:t>
      </w:r>
      <w:r>
        <w:rPr>
          <w:lang w:val="en-US"/>
        </w:rPr>
        <w:t xml:space="preserve"> </w:t>
      </w:r>
      <w:r>
        <w:rPr>
          <w:rStyle w:val="26"/>
          <w:lang w:val="en-US"/>
        </w:rPr>
        <w:t>There was an expected downward bias because the model estimates national-level resistance while the studies reported higher-acuity hospitalized subpopulations, which necessitated a directional interpretation of the comparisons with an absolute deviation of more than 25 percentage points recorded as a substantive difference.</w:t>
      </w:r>
      <w:r>
        <w:rPr>
          <w:lang w:val="en-US"/>
        </w:rPr>
        <w:t xml:space="preserve"> </w:t>
      </w:r>
      <w:r>
        <w:rPr>
          <w:rStyle w:val="26"/>
          <w:lang w:val="en-US"/>
        </w:rPr>
        <w:t>Since there were a limited number of similar combinations (n = 4), a formal statistical test was not used.</w:t>
      </w:r>
    </w:p>
    <w:p w14:paraId="1AAD1637">
      <w:pPr>
        <w:pStyle w:val="13"/>
        <w:rPr>
          <w:lang w:val="en-US"/>
        </w:rPr>
      </w:pPr>
      <w:r>
        <w:rPr>
          <w:rStyle w:val="14"/>
          <w:lang w:val="en-US"/>
        </w:rPr>
        <w:t>2.6 Data Availability</w:t>
      </w:r>
    </w:p>
    <w:p w14:paraId="349679BA">
      <w:pPr>
        <w:pStyle w:val="13"/>
        <w:rPr>
          <w:lang w:val="en-US"/>
        </w:rPr>
      </w:pPr>
      <w:r>
        <w:rPr>
          <w:rStyle w:val="26"/>
          <w:lang w:val="en-US"/>
        </w:rPr>
        <w:t>The data and code reported in this article are made available on Zenodo (</w:t>
      </w:r>
      <w:r>
        <w:fldChar w:fldCharType="begin"/>
      </w:r>
      <w:r>
        <w:instrText xml:space="preserve"> HYPERLINK "https://doi.org/10.5281/zenodo.20727165" \t "_blank" </w:instrText>
      </w:r>
      <w:r>
        <w:fldChar w:fldCharType="separate"/>
      </w:r>
      <w:r>
        <w:rPr>
          <w:rStyle w:val="26"/>
          <w:color w:val="0000FF"/>
          <w:u w:val="single"/>
          <w:lang w:val="en-US"/>
        </w:rPr>
        <w:t>https://doi.org/10.5281/zenodo.20727165</w:t>
      </w:r>
      <w:r>
        <w:rPr>
          <w:rStyle w:val="26"/>
          <w:color w:val="0000FF"/>
          <w:u w:val="single"/>
          <w:lang w:val="en-US"/>
        </w:rPr>
        <w:fldChar w:fldCharType="end"/>
      </w:r>
      <w:r>
        <w:rPr>
          <w:rStyle w:val="26"/>
          <w:lang w:val="en-US"/>
        </w:rPr>
        <w:t>).</w:t>
      </w:r>
      <w:r>
        <w:rPr>
          <w:lang w:val="en-US"/>
        </w:rPr>
        <w:t xml:space="preserve"> </w:t>
      </w:r>
      <w:r>
        <w:rPr>
          <w:rStyle w:val="26"/>
          <w:lang w:val="en-US"/>
        </w:rPr>
        <w:t>The deposit contains a single reproducibility notebook implementing the full pipeline, together with the supplementary reference tables (reference_tables.pdf: organism-specific MIC breakpoints, antibiotic-to-class and Kazakhstan antibiotic name mappings, and per-model hyperparameters) and the complete antibiotic–organism–year resistance-probability grid for Kazakhstan</w:t>
      </w:r>
      <w:r>
        <w:rPr>
          <w:lang w:val="en-US"/>
        </w:rPr>
        <w:t xml:space="preserve"> (kz_predictions.csv). </w:t>
      </w:r>
      <w:r>
        <w:rPr>
          <w:rStyle w:val="26"/>
          <w:lang w:val="en-US"/>
        </w:rPr>
        <w:t>The global isolate-level training data (ATLAS: Pfizer; SIDERO-WT: Shionogi; KEYSTONE) are governed by Data Use Agreements with Vivli and cannot be redistributed freely; reproducing the full training pipeline therefore requires a separate data-access application through Vivli (</w:t>
      </w:r>
      <w:r>
        <w:fldChar w:fldCharType="begin"/>
      </w:r>
      <w:r>
        <w:instrText xml:space="preserve"> HYPERLINK "https://vivli.org" \t "_blank" </w:instrText>
      </w:r>
      <w:r>
        <w:fldChar w:fldCharType="separate"/>
      </w:r>
      <w:r>
        <w:rPr>
          <w:rStyle w:val="26"/>
          <w:color w:val="0000FF"/>
          <w:u w:val="single"/>
          <w:lang w:val="en-US"/>
        </w:rPr>
        <w:t>https://vivli.org</w:t>
      </w:r>
      <w:r>
        <w:rPr>
          <w:rStyle w:val="26"/>
          <w:color w:val="0000FF"/>
          <w:u w:val="single"/>
          <w:lang w:val="en-US"/>
        </w:rPr>
        <w:fldChar w:fldCharType="end"/>
      </w:r>
      <w:r>
        <w:rPr>
          <w:rStyle w:val="26"/>
          <w:lang w:val="en-US"/>
        </w:rPr>
        <w:t>).</w:t>
      </w:r>
    </w:p>
    <w:p w14:paraId="2884EEED">
      <w:pPr>
        <w:pStyle w:val="13"/>
      </w:pPr>
      <w:r>
        <w:rPr>
          <w:rStyle w:val="14"/>
        </w:rPr>
        <w:t>2.7 Ethics</w:t>
      </w:r>
    </w:p>
    <w:p w14:paraId="4E279A51">
      <w:pPr>
        <w:pStyle w:val="13"/>
        <w:rPr>
          <w:lang w:val="en-US"/>
        </w:rPr>
      </w:pPr>
      <w:r>
        <w:rPr>
          <w:rStyle w:val="26"/>
          <w:lang w:val="en-US"/>
        </w:rPr>
        <w:t>The ethical review was carried out by Assistant Professor Dauren Ayazbayev, PhD, from SDU University – Department of Information Systems.</w:t>
      </w:r>
      <w:r>
        <w:rPr>
          <w:lang w:val="en-US"/>
        </w:rPr>
        <w:t xml:space="preserve"> </w:t>
      </w:r>
      <w:r>
        <w:rPr>
          <w:rStyle w:val="26"/>
          <w:lang w:val="en-US"/>
        </w:rPr>
        <w:t>The study did not involve any human subjects, nor did it involve the collection of any biological specimens, access to identifiable patient data, or, if such data were used, the keeping of any identifiable data that could allow identification of patients in the course of the study; therefore, it was determined exempt from IRB review.</w:t>
      </w:r>
    </w:p>
    <w:p w14:paraId="31429E95">
      <w:pPr>
        <w:pStyle w:val="13"/>
        <w:rPr>
          <w:lang w:val="en-US"/>
        </w:rPr>
      </w:pPr>
      <w:r>
        <w:rPr>
          <w:rStyle w:val="14"/>
          <w:lang w:val="en-US"/>
        </w:rPr>
        <w:t>Results</w:t>
      </w:r>
    </w:p>
    <w:p w14:paraId="185D84FB">
      <w:pPr>
        <w:pStyle w:val="13"/>
        <w:rPr>
          <w:lang w:val="en-US"/>
        </w:rPr>
      </w:pPr>
      <w:r>
        <w:rPr>
          <w:rStyle w:val="14"/>
          <w:lang w:val="en-US"/>
        </w:rPr>
        <w:t>3.1 Data Overview</w:t>
      </w:r>
    </w:p>
    <w:p w14:paraId="6EA04A90">
      <w:pPr>
        <w:pStyle w:val="13"/>
        <w:rPr>
          <w:lang w:val="en-US"/>
        </w:rPr>
      </w:pPr>
      <w:r>
        <w:rPr>
          <w:lang w:val="en-US"/>
        </w:rPr>
        <w:t xml:space="preserve">The final dataset comprised 11,275,172 susceptibility results indicating whether an organism was resistant or susceptible to a given antibiotic, spanning 85 countries over 19 years (2004–2023). </w:t>
      </w:r>
      <w:r>
        <w:rPr>
          <w:rStyle w:val="26"/>
          <w:lang w:val="en-US"/>
        </w:rPr>
        <w:t>Resistant results accounted for 19.8% (2,236,071 resistant samples out of 11,275,172).</w:t>
      </w:r>
      <w:r>
        <w:rPr>
          <w:lang w:val="en-US"/>
        </w:rPr>
        <w:t xml:space="preserve"> </w:t>
      </w:r>
      <w:r>
        <w:rPr>
          <w:rStyle w:val="26"/>
          <w:lang w:val="en-US"/>
        </w:rPr>
        <w:t>Under the temporal split, there were 7,203,908 training records (≤2018, 18.9% resistant), 1,601,179 validation records (2019–2020, 21.6% resistant), and 2,470,085 hold-out test records (&gt;2020, 21.4% resistant).</w:t>
      </w:r>
    </w:p>
    <w:p w14:paraId="6CCDBA31">
      <w:pPr>
        <w:pStyle w:val="13"/>
        <w:rPr>
          <w:lang w:val="en-US"/>
        </w:rPr>
      </w:pPr>
      <w:r>
        <w:rPr>
          <w:rStyle w:val="14"/>
          <w:lang w:val="en-US"/>
        </w:rPr>
        <w:t>3.2 Model Performance</w:t>
      </w:r>
    </w:p>
    <w:p w14:paraId="1D516B0D">
      <w:pPr>
        <w:pStyle w:val="13"/>
        <w:rPr>
          <w:lang w:val="en-US"/>
        </w:rPr>
      </w:pPr>
      <w:r>
        <w:rPr>
          <w:rStyle w:val="26"/>
          <w:lang w:val="en-US"/>
        </w:rPr>
        <w:t>On the hold-out dataset (&gt;2020), LightGBM attained the highest AUC (0.8512), and CatBoost the highest AUPRC (0.6496) and Recall@0.2 (0.7970).</w:t>
      </w:r>
      <w:r>
        <w:rPr>
          <w:lang w:val="en-US"/>
        </w:rPr>
        <w:t xml:space="preserve"> </w:t>
      </w:r>
      <w:r>
        <w:rPr>
          <w:rStyle w:val="26"/>
          <w:lang w:val="en-US"/>
        </w:rPr>
        <w:t>The selected final model was CatBoost, which achieved the pre-specified Recall score and AUPRC (Section 2.5.1).</w:t>
      </w:r>
      <w:r>
        <w:rPr>
          <w:lang w:val="en-US"/>
        </w:rPr>
        <w:t xml:space="preserve"> </w:t>
      </w:r>
      <w:r>
        <w:rPr>
          <w:rStyle w:val="26"/>
          <w:lang w:val="en-US"/>
        </w:rPr>
        <w:t>CatBoost's test values for AUC, AUPRC, and F1@0.2 were 0.8490, 0.6496, and 0.5612, respectively (Table 2).</w:t>
      </w:r>
      <w:r>
        <w:rPr>
          <w:lang w:val="en-US"/>
        </w:rPr>
        <w:t xml:space="preserve"> </w:t>
      </w:r>
      <w:r>
        <w:rPr>
          <w:rStyle w:val="26"/>
          <w:lang w:val="en-US"/>
        </w:rPr>
        <w:t>In the pairwise comparisons, after Benjamini–Hochberg correction of p-values from the DeLong test, all six pairwise AUC differences were statistically significant; however, the CatBoost–LightGBM difference was significant but negligible in magnitude (</w:t>
      </w:r>
      <w:r>
        <w:rPr>
          <w:rStyle w:val="26"/>
        </w:rPr>
        <w:t>Δ</w:t>
      </w:r>
      <w:r>
        <w:rPr>
          <w:rStyle w:val="26"/>
          <w:lang w:val="en-US"/>
        </w:rPr>
        <w:t>AUC = 0.0022).</w:t>
      </w:r>
      <w:r>
        <w:rPr>
          <w:lang w:val="en-US"/>
        </w:rPr>
        <w:t xml:space="preserve"> </w:t>
      </w:r>
      <w:r>
        <w:rPr>
          <w:rStyle w:val="26"/>
          <w:lang w:val="en-US"/>
        </w:rPr>
        <w:t>Both gradient-boosted models were significantly better than Random Forest and Logistic Regression (p_BH &lt; 0.001).</w:t>
      </w:r>
      <w:r>
        <w:rPr>
          <w:lang w:val="en-US"/>
        </w:rPr>
        <w:t xml:space="preserve"> </w:t>
      </w:r>
      <w:r>
        <w:rPr>
          <w:rStyle w:val="26"/>
          <w:lang w:val="en-US"/>
        </w:rPr>
        <w:t>Isotonic regression improved ECE for CatBoost from 0.1780 to 0.0120, raised the Brier skill score from −0.0017 (pre-calibration) to 0.3131, and did not change AUC (Table 2).</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915"/>
        <w:gridCol w:w="1915"/>
        <w:gridCol w:w="1915"/>
        <w:gridCol w:w="1916"/>
      </w:tblGrid>
      <w:tr w14:paraId="5FC6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B764FD9">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Metric</w:t>
            </w:r>
          </w:p>
        </w:tc>
        <w:tc>
          <w:tcPr>
            <w:tcW w:w="1915" w:type="dxa"/>
          </w:tcPr>
          <w:p w14:paraId="4806A428">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CatBoost</w:t>
            </w:r>
          </w:p>
        </w:tc>
        <w:tc>
          <w:tcPr>
            <w:tcW w:w="1915" w:type="dxa"/>
          </w:tcPr>
          <w:p w14:paraId="7D576333">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LightGBM</w:t>
            </w:r>
          </w:p>
        </w:tc>
        <w:tc>
          <w:tcPr>
            <w:tcW w:w="1915" w:type="dxa"/>
          </w:tcPr>
          <w:p w14:paraId="2EDB3CE5">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Random Forest</w:t>
            </w:r>
          </w:p>
        </w:tc>
        <w:tc>
          <w:tcPr>
            <w:tcW w:w="1916" w:type="dxa"/>
          </w:tcPr>
          <w:p w14:paraId="30B00E84">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Logistic Regression</w:t>
            </w:r>
          </w:p>
        </w:tc>
      </w:tr>
      <w:tr w14:paraId="1034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94F5C4F">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AUC</w:t>
            </w:r>
          </w:p>
        </w:tc>
        <w:tc>
          <w:tcPr>
            <w:tcW w:w="1915" w:type="dxa"/>
          </w:tcPr>
          <w:p w14:paraId="04303776">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0.8490</w:t>
            </w:r>
          </w:p>
        </w:tc>
        <w:tc>
          <w:tcPr>
            <w:tcW w:w="1915" w:type="dxa"/>
          </w:tcPr>
          <w:p w14:paraId="509B1354">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0.8512</w:t>
            </w:r>
          </w:p>
        </w:tc>
        <w:tc>
          <w:tcPr>
            <w:tcW w:w="1915" w:type="dxa"/>
          </w:tcPr>
          <w:p w14:paraId="4E245293">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0.8199</w:t>
            </w:r>
          </w:p>
        </w:tc>
        <w:tc>
          <w:tcPr>
            <w:tcW w:w="1916" w:type="dxa"/>
          </w:tcPr>
          <w:p w14:paraId="50E30353">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0.7940</w:t>
            </w:r>
          </w:p>
        </w:tc>
      </w:tr>
      <w:tr w14:paraId="6228D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6583BF4">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AUPRC</w:t>
            </w:r>
          </w:p>
        </w:tc>
        <w:tc>
          <w:tcPr>
            <w:tcW w:w="1915" w:type="dxa"/>
          </w:tcPr>
          <w:p w14:paraId="32ED6F43">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0.6496</w:t>
            </w:r>
          </w:p>
        </w:tc>
        <w:tc>
          <w:tcPr>
            <w:tcW w:w="1915" w:type="dxa"/>
          </w:tcPr>
          <w:p w14:paraId="0F5ED64C">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0.6481</w:t>
            </w:r>
          </w:p>
        </w:tc>
        <w:tc>
          <w:tcPr>
            <w:tcW w:w="1915" w:type="dxa"/>
          </w:tcPr>
          <w:p w14:paraId="5CBE1D09">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0.5771</w:t>
            </w:r>
          </w:p>
        </w:tc>
        <w:tc>
          <w:tcPr>
            <w:tcW w:w="1916" w:type="dxa"/>
          </w:tcPr>
          <w:p w14:paraId="1B46F9FC">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0.5269</w:t>
            </w:r>
          </w:p>
        </w:tc>
      </w:tr>
      <w:tr w14:paraId="6F4B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A92D3F0">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Brier</w:t>
            </w:r>
          </w:p>
        </w:tc>
        <w:tc>
          <w:tcPr>
            <w:tcW w:w="1915" w:type="dxa"/>
          </w:tcPr>
          <w:p w14:paraId="6ED9A974">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0.1155</w:t>
            </w:r>
          </w:p>
        </w:tc>
        <w:tc>
          <w:tcPr>
            <w:tcW w:w="1915" w:type="dxa"/>
          </w:tcPr>
          <w:p w14:paraId="313F7FC3">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0.1153</w:t>
            </w:r>
          </w:p>
        </w:tc>
        <w:tc>
          <w:tcPr>
            <w:tcW w:w="1915" w:type="dxa"/>
          </w:tcPr>
          <w:p w14:paraId="0EC0B5C9">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0.1255</w:t>
            </w:r>
          </w:p>
        </w:tc>
        <w:tc>
          <w:tcPr>
            <w:tcW w:w="1916" w:type="dxa"/>
          </w:tcPr>
          <w:p w14:paraId="5C603350">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0.1335</w:t>
            </w:r>
          </w:p>
        </w:tc>
      </w:tr>
      <w:tr w14:paraId="3F11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8DA5D56">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BSS</w:t>
            </w:r>
          </w:p>
        </w:tc>
        <w:tc>
          <w:tcPr>
            <w:tcW w:w="1915" w:type="dxa"/>
          </w:tcPr>
          <w:p w14:paraId="1C5C936B">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0.3131</w:t>
            </w:r>
          </w:p>
        </w:tc>
        <w:tc>
          <w:tcPr>
            <w:tcW w:w="1915" w:type="dxa"/>
          </w:tcPr>
          <w:p w14:paraId="18D44DBA">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0.3142</w:t>
            </w:r>
          </w:p>
        </w:tc>
        <w:tc>
          <w:tcPr>
            <w:tcW w:w="1915" w:type="dxa"/>
          </w:tcPr>
          <w:p w14:paraId="145CC3CB">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0.2537</w:t>
            </w:r>
          </w:p>
        </w:tc>
        <w:tc>
          <w:tcPr>
            <w:tcW w:w="1916" w:type="dxa"/>
          </w:tcPr>
          <w:p w14:paraId="1E81513B">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0.2061</w:t>
            </w:r>
          </w:p>
        </w:tc>
      </w:tr>
      <w:tr w14:paraId="5BB44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EA17371">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ECE</w:t>
            </w:r>
          </w:p>
        </w:tc>
        <w:tc>
          <w:tcPr>
            <w:tcW w:w="1915" w:type="dxa"/>
          </w:tcPr>
          <w:p w14:paraId="59ECE7EB">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0.0120</w:t>
            </w:r>
          </w:p>
        </w:tc>
        <w:tc>
          <w:tcPr>
            <w:tcW w:w="1915" w:type="dxa"/>
          </w:tcPr>
          <w:p w14:paraId="25D4822D">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0.0122</w:t>
            </w:r>
          </w:p>
        </w:tc>
        <w:tc>
          <w:tcPr>
            <w:tcW w:w="1915" w:type="dxa"/>
          </w:tcPr>
          <w:p w14:paraId="31095139">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0.0076</w:t>
            </w:r>
          </w:p>
        </w:tc>
        <w:tc>
          <w:tcPr>
            <w:tcW w:w="1916" w:type="dxa"/>
          </w:tcPr>
          <w:p w14:paraId="3AE7F5DA">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0.0135</w:t>
            </w:r>
          </w:p>
        </w:tc>
      </w:tr>
      <w:tr w14:paraId="7241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33DF481">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Recall@0.2</w:t>
            </w:r>
          </w:p>
        </w:tc>
        <w:tc>
          <w:tcPr>
            <w:tcW w:w="1915" w:type="dxa"/>
          </w:tcPr>
          <w:p w14:paraId="0ED79CB6">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0.7970</w:t>
            </w:r>
          </w:p>
        </w:tc>
        <w:tc>
          <w:tcPr>
            <w:tcW w:w="1915" w:type="dxa"/>
          </w:tcPr>
          <w:p w14:paraId="05A2A120">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0.7822</w:t>
            </w:r>
          </w:p>
        </w:tc>
        <w:tc>
          <w:tcPr>
            <w:tcW w:w="1915" w:type="dxa"/>
          </w:tcPr>
          <w:p w14:paraId="6C49BEE1">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0.7376</w:t>
            </w:r>
          </w:p>
        </w:tc>
        <w:tc>
          <w:tcPr>
            <w:tcW w:w="1916" w:type="dxa"/>
          </w:tcPr>
          <w:p w14:paraId="37CA6149">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0.7411</w:t>
            </w:r>
          </w:p>
        </w:tc>
      </w:tr>
      <w:tr w14:paraId="5295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3EC1D08">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Prec@0.2</w:t>
            </w:r>
          </w:p>
        </w:tc>
        <w:tc>
          <w:tcPr>
            <w:tcW w:w="1915" w:type="dxa"/>
          </w:tcPr>
          <w:p w14:paraId="25EF268A">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0.4330</w:t>
            </w:r>
          </w:p>
        </w:tc>
        <w:tc>
          <w:tcPr>
            <w:tcW w:w="1915" w:type="dxa"/>
          </w:tcPr>
          <w:p w14:paraId="0AF0A8DA">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0.4447</w:t>
            </w:r>
          </w:p>
        </w:tc>
        <w:tc>
          <w:tcPr>
            <w:tcW w:w="1915" w:type="dxa"/>
          </w:tcPr>
          <w:p w14:paraId="456BD457">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0.4264</w:t>
            </w:r>
          </w:p>
        </w:tc>
        <w:tc>
          <w:tcPr>
            <w:tcW w:w="1916" w:type="dxa"/>
          </w:tcPr>
          <w:p w14:paraId="03A7387E">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0.3962</w:t>
            </w:r>
          </w:p>
        </w:tc>
      </w:tr>
      <w:tr w14:paraId="519ED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3AAB5E3">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F1@0.2</w:t>
            </w:r>
          </w:p>
        </w:tc>
        <w:tc>
          <w:tcPr>
            <w:tcW w:w="1915" w:type="dxa"/>
          </w:tcPr>
          <w:p w14:paraId="2FC93BE5">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0.5612</w:t>
            </w:r>
          </w:p>
        </w:tc>
        <w:tc>
          <w:tcPr>
            <w:tcW w:w="1915" w:type="dxa"/>
          </w:tcPr>
          <w:p w14:paraId="35A0186C">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0.5671</w:t>
            </w:r>
          </w:p>
        </w:tc>
        <w:tc>
          <w:tcPr>
            <w:tcW w:w="1915" w:type="dxa"/>
          </w:tcPr>
          <w:p w14:paraId="3A15E729">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0.5404</w:t>
            </w:r>
          </w:p>
        </w:tc>
        <w:tc>
          <w:tcPr>
            <w:tcW w:w="1916" w:type="dxa"/>
          </w:tcPr>
          <w:p w14:paraId="7E193583">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0.5163</w:t>
            </w:r>
          </w:p>
        </w:tc>
      </w:tr>
      <w:tr w14:paraId="37E96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7AB2558">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Recall@0.5</w:t>
            </w:r>
          </w:p>
        </w:tc>
        <w:tc>
          <w:tcPr>
            <w:tcW w:w="1915" w:type="dxa"/>
          </w:tcPr>
          <w:p w14:paraId="37790660">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0.4098</w:t>
            </w:r>
          </w:p>
        </w:tc>
        <w:tc>
          <w:tcPr>
            <w:tcW w:w="1915" w:type="dxa"/>
          </w:tcPr>
          <w:p w14:paraId="4A53394B">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0.4139</w:t>
            </w:r>
          </w:p>
        </w:tc>
        <w:tc>
          <w:tcPr>
            <w:tcW w:w="1915" w:type="dxa"/>
          </w:tcPr>
          <w:p w14:paraId="436A5131">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0.3255</w:t>
            </w:r>
          </w:p>
        </w:tc>
        <w:tc>
          <w:tcPr>
            <w:tcW w:w="1916" w:type="dxa"/>
          </w:tcPr>
          <w:p w14:paraId="3B42D0BF">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0.2763</w:t>
            </w:r>
          </w:p>
        </w:tc>
      </w:tr>
      <w:tr w14:paraId="3971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544805D">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Prec@0.5</w:t>
            </w:r>
          </w:p>
        </w:tc>
        <w:tc>
          <w:tcPr>
            <w:tcW w:w="1915" w:type="dxa"/>
          </w:tcPr>
          <w:p w14:paraId="03CA3419">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0.7222</w:t>
            </w:r>
          </w:p>
        </w:tc>
        <w:tc>
          <w:tcPr>
            <w:tcW w:w="1915" w:type="dxa"/>
          </w:tcPr>
          <w:p w14:paraId="294B40EE">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0.7082</w:t>
            </w:r>
          </w:p>
        </w:tc>
        <w:tc>
          <w:tcPr>
            <w:tcW w:w="1915" w:type="dxa"/>
          </w:tcPr>
          <w:p w14:paraId="5EBA3367">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0.7032</w:t>
            </w:r>
          </w:p>
        </w:tc>
        <w:tc>
          <w:tcPr>
            <w:tcW w:w="1916" w:type="dxa"/>
          </w:tcPr>
          <w:p w14:paraId="62CD4940">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0.6523</w:t>
            </w:r>
          </w:p>
        </w:tc>
      </w:tr>
      <w:tr w14:paraId="1D04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755DA1A">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F1@0.5</w:t>
            </w:r>
          </w:p>
        </w:tc>
        <w:tc>
          <w:tcPr>
            <w:tcW w:w="1915" w:type="dxa"/>
          </w:tcPr>
          <w:p w14:paraId="2D622635">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0.5229</w:t>
            </w:r>
          </w:p>
        </w:tc>
        <w:tc>
          <w:tcPr>
            <w:tcW w:w="1915" w:type="dxa"/>
          </w:tcPr>
          <w:p w14:paraId="0A08B546">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0.5225</w:t>
            </w:r>
          </w:p>
        </w:tc>
        <w:tc>
          <w:tcPr>
            <w:tcW w:w="1915" w:type="dxa"/>
          </w:tcPr>
          <w:p w14:paraId="1CF0D899">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0.4450</w:t>
            </w:r>
          </w:p>
        </w:tc>
        <w:tc>
          <w:tcPr>
            <w:tcW w:w="1916" w:type="dxa"/>
          </w:tcPr>
          <w:p w14:paraId="6C5FC9A4">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0.3882</w:t>
            </w:r>
          </w:p>
        </w:tc>
      </w:tr>
    </w:tbl>
    <w:p w14:paraId="088D151E">
      <w:pPr>
        <w:spacing w:before="240" w:after="240" w:line="240" w:lineRule="auto"/>
        <w:rPr>
          <w:rFonts w:ascii="Times New Roman" w:hAnsi="Times New Roman" w:eastAsia="Times New Roman" w:cs="Times New Roman"/>
          <w:i/>
          <w:iCs/>
          <w:sz w:val="24"/>
          <w:szCs w:val="24"/>
          <w:highlight w:val="white"/>
        </w:rPr>
      </w:pPr>
      <w:r>
        <w:rPr>
          <w:rFonts w:ascii="Times New Roman" w:hAnsi="Times New Roman" w:eastAsia="Times New Roman" w:cs="Times New Roman"/>
          <w:b/>
          <w:bCs/>
          <w:i/>
          <w:iCs/>
          <w:sz w:val="24"/>
          <w:szCs w:val="24"/>
          <w:highlight w:val="white"/>
        </w:rPr>
        <w:t>Table 2.</w:t>
      </w:r>
      <w:r>
        <w:rPr>
          <w:rFonts w:ascii="Times New Roman" w:hAnsi="Times New Roman" w:eastAsia="Times New Roman" w:cs="Times New Roman"/>
          <w:i/>
          <w:iCs/>
          <w:sz w:val="24"/>
          <w:szCs w:val="24"/>
          <w:highlight w:val="white"/>
        </w:rPr>
        <w:t xml:space="preserve"> Model performance and calibration on the hold-out test set (&gt;2020). Metrics are computed on isotonic-calibrated probabilities. @0.2 and @0.5 denote the classification threshold applied to the calibrated probability: 0.2 is the clinical actionability threshold (primary operating point); 0.5 is the conventional reference threshold.</w:t>
      </w:r>
    </w:p>
    <w:p w14:paraId="5DF0818E">
      <w:pPr>
        <w:spacing w:before="240" w:after="240" w:line="240" w:lineRule="auto"/>
        <w:rPr>
          <w:rFonts w:hint="default" w:ascii="Times New Roman" w:hAnsi="Times New Roman" w:eastAsia="Times New Roman" w:cs="Times New Roman"/>
          <w:i/>
          <w:iCs/>
          <w:sz w:val="24"/>
          <w:szCs w:val="24"/>
          <w:highlight w:val="white"/>
        </w:rPr>
      </w:pPr>
      <w:r>
        <w:rPr>
          <w:rFonts w:hint="default" w:ascii="Times New Roman" w:hAnsi="Times New Roman" w:eastAsia="SimSun" w:cs="Times New Roman"/>
          <w:sz w:val="24"/>
          <w:szCs w:val="24"/>
        </w:rPr>
        <w:t>Four-fold rolling-origin temporal cross-validation yielded a mean AUC of 0.870 ± 0.016, mean AUPRC of 0.681 ± 0.006, and mean F1@0.2 of 0.585 ± 0.006. The cross-validation AUC is slightly higher than the estimate obtained from the independent hold-out (0.870 vs 0.849). At the 0.20 threshold, the confusion matrix (Figure 2a) recorded 1,390,502 true negatives, 551,277 false positives, 107,253 false negatives, and 421,053 true positives. The ROC curve is shown in Figure 2b (AUC = 0.849) and the precision–recall curve in Figure 2c (AUPRC = 0.650; baseline = 0.214).</w:t>
      </w:r>
    </w:p>
    <w:p w14:paraId="41576823">
      <w:pPr>
        <w:spacing w:before="240" w:after="240" w:line="240" w:lineRule="auto"/>
        <w:jc w:val="left"/>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lang w:val="ru-RU"/>
        </w:rPr>
        <w:drawing>
          <wp:inline distT="114300" distB="114300" distL="114300" distR="114300">
            <wp:extent cx="5943600" cy="4749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5943600" cy="4749800"/>
                    </a:xfrm>
                    <a:prstGeom prst="rect">
                      <a:avLst/>
                    </a:prstGeom>
                  </pic:spPr>
                </pic:pic>
              </a:graphicData>
            </a:graphic>
          </wp:inline>
        </w:drawing>
      </w:r>
    </w:p>
    <w:p w14:paraId="2C2E0A73">
      <w:pPr>
        <w:pStyle w:val="13"/>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Figure 2.</w:t>
      </w:r>
      <w:r>
        <w:rPr>
          <w:rFonts w:hint="default" w:ascii="Times New Roman" w:hAnsi="Times New Roman" w:eastAsia="SimSun" w:cs="Times New Roman"/>
          <w:sz w:val="24"/>
          <w:szCs w:val="24"/>
        </w:rPr>
        <w:t xml:space="preserve"> Global hold-out evaluation of the CatBoost classifier (test isolates from 2021 onward). (a) Confusion matrix at the clinical actionability threshold. (b) ROC curve. (c) Precision–recall curve with prevalence baseline. (d) SHAP beeswarm ordered by mean absolute SHAP value; colour denotes feature value (blue = low, red = high). Metrics computed on isotonic-calibrated probabilities.</w:t>
      </w:r>
    </w:p>
    <w:p w14:paraId="7A650DEB">
      <w:pPr>
        <w:pStyle w:val="13"/>
        <w:rPr>
          <w:lang w:val="en-US"/>
        </w:rPr>
      </w:pPr>
      <w:r>
        <w:rPr>
          <w:b/>
          <w:bCs/>
          <w:lang w:val="en-US"/>
        </w:rPr>
        <w:t xml:space="preserve">3.3 </w:t>
      </w:r>
      <w:r>
        <w:rPr>
          <w:rStyle w:val="26"/>
          <w:b/>
          <w:bCs/>
          <w:lang w:val="en-US"/>
        </w:rPr>
        <w:t>Feature Analysis</w:t>
      </w:r>
      <w:r>
        <w:rPr>
          <w:lang w:val="en-US"/>
        </w:rPr>
        <w:br w:type="textWrapping"/>
      </w:r>
      <w:r>
        <w:rPr>
          <w:rStyle w:val="26"/>
          <w:lang w:val="en-US"/>
        </w:rPr>
        <w:t>Organism (35.9%) and antibiotic (27.3%) were the most important features, with the three categorical features (organism, antibiotic, and antibiotic class, 11.8%) contributing 75.0% of total predictive importance.</w:t>
      </w:r>
      <w:r>
        <w:rPr>
          <w:lang w:val="en-US"/>
        </w:rPr>
        <w:t xml:space="preserve"> </w:t>
      </w:r>
      <w:r>
        <w:rPr>
          <w:rStyle w:val="26"/>
          <w:lang w:val="en-US"/>
        </w:rPr>
        <w:t>The most important numeric measures are year (4.5%), sanitation access (4.4%), log GDP per capita (3.1%), and per-class antibiotic consumption (log consumption DDD per class, 2.9%).</w:t>
      </w:r>
      <w:r>
        <w:rPr>
          <w:lang w:val="en-US"/>
        </w:rPr>
        <w:t xml:space="preserve"> </w:t>
      </w:r>
      <w:r>
        <w:rPr>
          <w:rStyle w:val="26"/>
          <w:lang w:val="en-US"/>
        </w:rPr>
        <w:t>None of the macroeconomic features were individually sufficient for the test AUC, as their removal did not impact the score by more than 0.0043, and their elimination (retaining only numerical features) brought the discriminative score to 0.618 from 0.848.</w:t>
      </w:r>
      <w:r>
        <w:rPr>
          <w:lang w:val="en-US"/>
        </w:rPr>
        <w:t xml:space="preserve"> </w:t>
      </w:r>
      <w:r>
        <w:rPr>
          <w:rStyle w:val="26"/>
          <w:lang w:val="en-US"/>
        </w:rPr>
        <w:t>As seen from the SHAP analysis in Figure 2d, on the one hand log consumption DDD was concentrated around zero and had a small positive trend, and on the other hand, higher values of log GDP per capita and health expenditure were correlated with negative SHAP values.</w:t>
      </w:r>
      <w:r>
        <w:rPr>
          <w:lang w:val="en-US"/>
        </w:rPr>
        <w:t xml:space="preserve"> </w:t>
      </w:r>
      <w:r>
        <w:rPr>
          <w:rStyle w:val="26"/>
          <w:lang w:val="en-US"/>
        </w:rPr>
        <w:t>The difference between the two rankings of the temporal features, year, results from the difference between the two methods described in Section 2.5.5.</w:t>
      </w:r>
    </w:p>
    <w:p w14:paraId="21A7000E">
      <w:pPr>
        <w:pStyle w:val="13"/>
        <w:rPr>
          <w:lang w:val="en-US"/>
        </w:rPr>
      </w:pPr>
      <w:r>
        <w:rPr>
          <w:b/>
          <w:bCs/>
          <w:lang w:val="en-US"/>
        </w:rPr>
        <w:t xml:space="preserve">3.4 </w:t>
      </w:r>
      <w:r>
        <w:rPr>
          <w:rStyle w:val="26"/>
          <w:b/>
          <w:bCs/>
          <w:lang w:val="en-US"/>
        </w:rPr>
        <w:t>Validation Results</w:t>
      </w:r>
      <w:r>
        <w:rPr>
          <w:lang w:val="en-US"/>
        </w:rPr>
        <w:br w:type="textWrapping"/>
      </w:r>
      <w:r>
        <w:rPr>
          <w:rStyle w:val="26"/>
          <w:lang w:val="en-US"/>
        </w:rPr>
        <w:t xml:space="preserve">The results of cluster-based and LOCO validations are included in Table </w:t>
      </w:r>
      <w:r>
        <w:rPr>
          <w:rStyle w:val="26"/>
          <w:rFonts w:hint="default"/>
          <w:lang w:val="en-US"/>
        </w:rPr>
        <w:t>3</w:t>
      </w:r>
      <w:r>
        <w:rPr>
          <w:rStyle w:val="26"/>
          <w:lang w:val="en-US"/>
        </w:rPr>
        <w:t>.</w:t>
      </w:r>
      <w:r>
        <w:rPr>
          <w:lang w:val="en-US"/>
        </w:rPr>
        <w:t xml:space="preserve"> </w:t>
      </w:r>
      <w:r>
        <w:rPr>
          <w:rStyle w:val="26"/>
          <w:lang w:val="en-US"/>
        </w:rPr>
        <w:t>Although the post-Soviet model uses only 2.5% of the training data, it achieved the highest AUC (0.8979) with only a marginal difference in its Brier score after isotonic calibration (0.1389 to 0.1186).</w:t>
      </w:r>
      <w:r>
        <w:rPr>
          <w:lang w:val="en-US"/>
        </w:rPr>
        <w:t xml:space="preserve"> </w:t>
      </w:r>
      <w:r>
        <w:rPr>
          <w:rStyle w:val="26"/>
          <w:lang w:val="en-US"/>
        </w:rPr>
        <w:t>The global LOCO model (all countries except Kazakhstan) achieved an AUC of 0.8812 and an AUPRC of 0.7050.</w:t>
      </w:r>
      <w:r>
        <w:rPr>
          <w:lang w:val="en-US"/>
        </w:rPr>
        <w:t xml:space="preserve"> </w:t>
      </w:r>
      <w:r>
        <w:rPr>
          <w:rStyle w:val="26"/>
          <w:lang w:val="en-US"/>
        </w:rPr>
        <w:t xml:space="preserve">For country hold-out testing (Table </w:t>
      </w:r>
      <w:r>
        <w:rPr>
          <w:rStyle w:val="26"/>
          <w:rFonts w:hint="default"/>
          <w:lang w:val="en-US"/>
        </w:rPr>
        <w:t>4</w:t>
      </w:r>
      <w:r>
        <w:rPr>
          <w:rStyle w:val="26"/>
          <w:lang w:val="en-US"/>
        </w:rPr>
        <w:t>), the calibrated Brier score ranged from lowest in France (0.0808) to highest in India (0.2135), suggesting that the transferability of calibration remained variable across countries.</w:t>
      </w:r>
      <w:r>
        <w:rPr>
          <w:lang w:val="en-US"/>
        </w:rPr>
        <w:br w:type="textWrapping"/>
      </w:r>
      <w:r>
        <w:rPr>
          <w:rStyle w:val="26"/>
          <w:lang w:val="en-US"/>
        </w:rPr>
        <w:t>With the global LOCO model used as the main model, the overall mean calibrated resistance probability across the 480 inferences for Kazakhstan was 0.338, with 66.9% above the 20% clinical actionability threshold.</w:t>
      </w:r>
      <w:r>
        <w:rPr>
          <w:lang w:val="en-US"/>
        </w:rPr>
        <w:t> </w:t>
      </w:r>
      <w:r>
        <w:rPr>
          <w:rStyle w:val="11"/>
          <w:lang w:val="en-US"/>
        </w:rPr>
        <w:t>Acinetobacter baumannii</w:t>
      </w:r>
      <w:r>
        <w:rPr>
          <w:rStyle w:val="26"/>
          <w:lang w:val="en-US"/>
        </w:rPr>
        <w:t> (mean resistance prediction 0.55) was the most resistant, followed by </w:t>
      </w:r>
      <w:r>
        <w:rPr>
          <w:rStyle w:val="11"/>
          <w:lang w:val="en-US"/>
        </w:rPr>
        <w:t>Klebsiella pneumoniae</w:t>
      </w:r>
      <w:r>
        <w:rPr>
          <w:rStyle w:val="26"/>
          <w:lang w:val="en-US"/>
        </w:rPr>
        <w:t> and </w:t>
      </w:r>
      <w:r>
        <w:rPr>
          <w:rStyle w:val="11"/>
          <w:lang w:val="en-US"/>
        </w:rPr>
        <w:t>Enterococcus faecium</w:t>
      </w:r>
      <w:r>
        <w:rPr>
          <w:rStyle w:val="26"/>
          <w:lang w:val="en-US"/>
        </w:rPr>
        <w:t> (~0.43 mean resistance prediction).</w:t>
      </w:r>
    </w:p>
    <w:tbl>
      <w:tblPr>
        <w:tblStyle w:val="16"/>
        <w:tblW w:w="98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1"/>
        <w:gridCol w:w="782"/>
        <w:gridCol w:w="1114"/>
        <w:gridCol w:w="911"/>
        <w:gridCol w:w="954"/>
        <w:gridCol w:w="949"/>
        <w:gridCol w:w="969"/>
        <w:gridCol w:w="909"/>
        <w:gridCol w:w="1160"/>
        <w:gridCol w:w="1123"/>
      </w:tblGrid>
      <w:tr w14:paraId="5ACE8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6BC1E708">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Group</w:t>
            </w:r>
          </w:p>
        </w:tc>
        <w:tc>
          <w:tcPr>
            <w:tcW w:w="782" w:type="dxa"/>
          </w:tcPr>
          <w:p w14:paraId="3E5197F7">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n_countries</w:t>
            </w:r>
          </w:p>
        </w:tc>
        <w:tc>
          <w:tcPr>
            <w:tcW w:w="1114" w:type="dxa"/>
          </w:tcPr>
          <w:p w14:paraId="5366BDCB">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n_train</w:t>
            </w:r>
          </w:p>
        </w:tc>
        <w:tc>
          <w:tcPr>
            <w:tcW w:w="911" w:type="dxa"/>
          </w:tcPr>
          <w:p w14:paraId="1808915C">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n_val</w:t>
            </w:r>
          </w:p>
        </w:tc>
        <w:tc>
          <w:tcPr>
            <w:tcW w:w="954" w:type="dxa"/>
          </w:tcPr>
          <w:p w14:paraId="78FA7755">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val_AUC</w:t>
            </w:r>
          </w:p>
        </w:tc>
        <w:tc>
          <w:tcPr>
            <w:tcW w:w="949" w:type="dxa"/>
          </w:tcPr>
          <w:p w14:paraId="39974CE7">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val_AUPRC</w:t>
            </w:r>
          </w:p>
        </w:tc>
        <w:tc>
          <w:tcPr>
            <w:tcW w:w="969" w:type="dxa"/>
          </w:tcPr>
          <w:p w14:paraId="275A35EC">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Brier_raw</w:t>
            </w:r>
          </w:p>
        </w:tc>
        <w:tc>
          <w:tcPr>
            <w:tcW w:w="909" w:type="dxa"/>
          </w:tcPr>
          <w:p w14:paraId="46C9C6F0">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Brier_cal</w:t>
            </w:r>
          </w:p>
        </w:tc>
        <w:tc>
          <w:tcPr>
            <w:tcW w:w="1160" w:type="dxa"/>
          </w:tcPr>
          <w:p w14:paraId="4AA9B5A6">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kz_mean_cal</w:t>
            </w:r>
          </w:p>
        </w:tc>
        <w:tc>
          <w:tcPr>
            <w:tcW w:w="1123" w:type="dxa"/>
          </w:tcPr>
          <w:p w14:paraId="3FA7153E">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kz_% &gt;= 0.2</w:t>
            </w:r>
          </w:p>
        </w:tc>
      </w:tr>
      <w:tr w14:paraId="6DFA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10A31B3F">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post soviet</w:t>
            </w:r>
          </w:p>
        </w:tc>
        <w:tc>
          <w:tcPr>
            <w:tcW w:w="782" w:type="dxa"/>
          </w:tcPr>
          <w:p w14:paraId="5F30602A">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6</w:t>
            </w:r>
          </w:p>
        </w:tc>
        <w:tc>
          <w:tcPr>
            <w:tcW w:w="1114" w:type="dxa"/>
          </w:tcPr>
          <w:p w14:paraId="37C7D7B3">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179,237</w:t>
            </w:r>
          </w:p>
        </w:tc>
        <w:tc>
          <w:tcPr>
            <w:tcW w:w="911" w:type="dxa"/>
          </w:tcPr>
          <w:p w14:paraId="586FC791">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60,583</w:t>
            </w:r>
          </w:p>
        </w:tc>
        <w:tc>
          <w:tcPr>
            <w:tcW w:w="954" w:type="dxa"/>
          </w:tcPr>
          <w:p w14:paraId="64DEC99C">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0.8979</w:t>
            </w:r>
          </w:p>
        </w:tc>
        <w:tc>
          <w:tcPr>
            <w:tcW w:w="949" w:type="dxa"/>
          </w:tcPr>
          <w:p w14:paraId="008DE1B2">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0.8073</w:t>
            </w:r>
          </w:p>
        </w:tc>
        <w:tc>
          <w:tcPr>
            <w:tcW w:w="969" w:type="dxa"/>
          </w:tcPr>
          <w:p w14:paraId="3EC2DEDF">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0.1389</w:t>
            </w:r>
          </w:p>
        </w:tc>
        <w:tc>
          <w:tcPr>
            <w:tcW w:w="909" w:type="dxa"/>
          </w:tcPr>
          <w:p w14:paraId="5C96DCCC">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0.1186</w:t>
            </w:r>
          </w:p>
        </w:tc>
        <w:tc>
          <w:tcPr>
            <w:tcW w:w="1160" w:type="dxa"/>
          </w:tcPr>
          <w:p w14:paraId="5EDEFAE7">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0.3996</w:t>
            </w:r>
          </w:p>
        </w:tc>
        <w:tc>
          <w:tcPr>
            <w:tcW w:w="1123" w:type="dxa"/>
          </w:tcPr>
          <w:p w14:paraId="52FA56C1">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72.5</w:t>
            </w:r>
          </w:p>
        </w:tc>
      </w:tr>
      <w:tr w14:paraId="28E89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64E07134">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LOCO (KZ)</w:t>
            </w:r>
          </w:p>
        </w:tc>
        <w:tc>
          <w:tcPr>
            <w:tcW w:w="782" w:type="dxa"/>
          </w:tcPr>
          <w:p w14:paraId="62F74DEE">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85</w:t>
            </w:r>
          </w:p>
        </w:tc>
        <w:tc>
          <w:tcPr>
            <w:tcW w:w="1114" w:type="dxa"/>
          </w:tcPr>
          <w:p w14:paraId="74276B71">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7,203,908</w:t>
            </w:r>
          </w:p>
        </w:tc>
        <w:tc>
          <w:tcPr>
            <w:tcW w:w="911" w:type="dxa"/>
          </w:tcPr>
          <w:p w14:paraId="65AEC14B">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1,601,179</w:t>
            </w:r>
          </w:p>
        </w:tc>
        <w:tc>
          <w:tcPr>
            <w:tcW w:w="954" w:type="dxa"/>
          </w:tcPr>
          <w:p w14:paraId="5B92005E">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0.8812</w:t>
            </w:r>
          </w:p>
        </w:tc>
        <w:tc>
          <w:tcPr>
            <w:tcW w:w="949" w:type="dxa"/>
          </w:tcPr>
          <w:p w14:paraId="0F951CF9">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0.7050</w:t>
            </w:r>
          </w:p>
        </w:tc>
        <w:tc>
          <w:tcPr>
            <w:tcW w:w="969" w:type="dxa"/>
          </w:tcPr>
          <w:p w14:paraId="7FF0A676">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0.1550</w:t>
            </w:r>
          </w:p>
        </w:tc>
        <w:tc>
          <w:tcPr>
            <w:tcW w:w="909" w:type="dxa"/>
          </w:tcPr>
          <w:p w14:paraId="21720098">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0.1059</w:t>
            </w:r>
          </w:p>
        </w:tc>
        <w:tc>
          <w:tcPr>
            <w:tcW w:w="1160" w:type="dxa"/>
          </w:tcPr>
          <w:p w14:paraId="6C144BD7">
            <w:pPr>
              <w:widowControl w:val="0"/>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0.3380</w:t>
            </w:r>
          </w:p>
        </w:tc>
        <w:tc>
          <w:tcPr>
            <w:tcW w:w="1123" w:type="dxa"/>
          </w:tcPr>
          <w:p w14:paraId="0D303EF1">
            <w:pPr>
              <w:widowControl w:val="0"/>
              <w:spacing w:before="240" w:after="240" w:line="240" w:lineRule="auto"/>
              <w:jc w:val="both"/>
              <w:rPr>
                <w:rFonts w:hint="default" w:ascii="Times New Roman" w:hAnsi="Times New Roman" w:cs="Times New Roman"/>
                <w:sz w:val="24"/>
                <w:szCs w:val="24"/>
                <w:lang w:val="ru-RU"/>
              </w:rPr>
            </w:pPr>
            <w:r>
              <w:rPr>
                <w:rFonts w:ascii="Times New Roman" w:hAnsi="Times New Roman" w:eastAsia="Times New Roman" w:cs="Times New Roman"/>
                <w:sz w:val="24"/>
                <w:szCs w:val="24"/>
                <w:highlight w:val="white"/>
              </w:rPr>
              <w:t>6</w:t>
            </w:r>
            <w:r>
              <w:rPr>
                <w:rFonts w:hint="default" w:ascii="Times New Roman" w:hAnsi="Times New Roman" w:eastAsia="Times New Roman" w:cs="Times New Roman"/>
                <w:sz w:val="24"/>
                <w:szCs w:val="24"/>
                <w:highlight w:val="white"/>
                <w:lang w:val="ru-RU"/>
              </w:rPr>
              <w:t>6</w:t>
            </w:r>
            <w:r>
              <w:rPr>
                <w:rFonts w:ascii="Times New Roman" w:hAnsi="Times New Roman" w:eastAsia="Times New Roman" w:cs="Times New Roman"/>
                <w:sz w:val="24"/>
                <w:szCs w:val="24"/>
                <w:highlight w:val="white"/>
              </w:rPr>
              <w:t>.</w:t>
            </w:r>
            <w:r>
              <w:rPr>
                <w:rFonts w:hint="default" w:ascii="Times New Roman" w:hAnsi="Times New Roman" w:eastAsia="Times New Roman" w:cs="Times New Roman"/>
                <w:sz w:val="24"/>
                <w:szCs w:val="24"/>
                <w:highlight w:val="white"/>
                <w:lang w:val="ru-RU"/>
              </w:rPr>
              <w:t>9</w:t>
            </w:r>
          </w:p>
        </w:tc>
      </w:tr>
    </w:tbl>
    <w:p w14:paraId="57417921">
      <w:pPr>
        <w:spacing w:before="240" w:after="240" w:line="240" w:lineRule="auto"/>
        <w:rPr>
          <w:rFonts w:ascii="Times New Roman" w:hAnsi="Times New Roman" w:eastAsia="Times New Roman" w:cs="Times New Roman"/>
          <w:i/>
          <w:iCs/>
          <w:sz w:val="24"/>
          <w:szCs w:val="24"/>
          <w:highlight w:val="white"/>
        </w:rPr>
      </w:pPr>
      <w:r>
        <w:rPr>
          <w:rFonts w:ascii="Times New Roman" w:hAnsi="Times New Roman" w:eastAsia="Times New Roman" w:cs="Times New Roman"/>
          <w:i/>
          <w:iCs/>
          <w:sz w:val="24"/>
          <w:szCs w:val="24"/>
          <w:highlight w:val="white"/>
        </w:rPr>
        <w:t xml:space="preserve">Table </w:t>
      </w:r>
      <w:r>
        <w:rPr>
          <w:rFonts w:hint="default" w:ascii="Times New Roman" w:hAnsi="Times New Roman" w:eastAsia="Times New Roman" w:cs="Times New Roman"/>
          <w:i/>
          <w:iCs/>
          <w:sz w:val="24"/>
          <w:szCs w:val="24"/>
          <w:highlight w:val="white"/>
          <w:lang w:val="en-US"/>
        </w:rPr>
        <w:t>3</w:t>
      </w:r>
      <w:r>
        <w:rPr>
          <w:rFonts w:ascii="Times New Roman" w:hAnsi="Times New Roman" w:eastAsia="Times New Roman" w:cs="Times New Roman"/>
          <w:i/>
          <w:iCs/>
          <w:sz w:val="24"/>
          <w:szCs w:val="24"/>
          <w:highlight w:val="white"/>
        </w:rPr>
        <w:t xml:space="preserve">: Performance of post-Soviet and global LOCO model including Kazakhstan inference statistics.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0"/>
        <w:gridCol w:w="1072"/>
        <w:gridCol w:w="921"/>
        <w:gridCol w:w="1168"/>
        <w:gridCol w:w="1264"/>
        <w:gridCol w:w="1147"/>
        <w:gridCol w:w="1020"/>
        <w:gridCol w:w="1143"/>
        <w:gridCol w:w="921"/>
      </w:tblGrid>
      <w:tr w14:paraId="4A3DB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221CB9E2">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Country</w:t>
            </w:r>
          </w:p>
        </w:tc>
        <w:tc>
          <w:tcPr>
            <w:tcW w:w="1072" w:type="dxa"/>
          </w:tcPr>
          <w:p w14:paraId="464A2913">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n_test</w:t>
            </w:r>
          </w:p>
        </w:tc>
        <w:tc>
          <w:tcPr>
            <w:tcW w:w="921" w:type="dxa"/>
          </w:tcPr>
          <w:p w14:paraId="2CCAAA52">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Prevalence</w:t>
            </w:r>
          </w:p>
        </w:tc>
        <w:tc>
          <w:tcPr>
            <w:tcW w:w="1168" w:type="dxa"/>
          </w:tcPr>
          <w:p w14:paraId="43D8544F">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AUC_cal</w:t>
            </w:r>
          </w:p>
        </w:tc>
        <w:tc>
          <w:tcPr>
            <w:tcW w:w="1264" w:type="dxa"/>
          </w:tcPr>
          <w:p w14:paraId="13B7AFE4">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AUPRC_cal</w:t>
            </w:r>
          </w:p>
        </w:tc>
        <w:tc>
          <w:tcPr>
            <w:tcW w:w="1147" w:type="dxa"/>
          </w:tcPr>
          <w:p w14:paraId="4877671B">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Recall@0.2_cal</w:t>
            </w:r>
          </w:p>
        </w:tc>
        <w:tc>
          <w:tcPr>
            <w:tcW w:w="1020" w:type="dxa"/>
          </w:tcPr>
          <w:p w14:paraId="61966793">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Prec@0.2_cal</w:t>
            </w:r>
          </w:p>
        </w:tc>
        <w:tc>
          <w:tcPr>
            <w:tcW w:w="1143" w:type="dxa"/>
          </w:tcPr>
          <w:p w14:paraId="43CA03A0">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F1@0.2_cal</w:t>
            </w:r>
          </w:p>
        </w:tc>
        <w:tc>
          <w:tcPr>
            <w:tcW w:w="921" w:type="dxa"/>
          </w:tcPr>
          <w:p w14:paraId="1513500C">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Brier_cal</w:t>
            </w:r>
          </w:p>
        </w:tc>
      </w:tr>
      <w:tr w14:paraId="0F10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3DFE768C">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Russia</w:t>
            </w:r>
          </w:p>
        </w:tc>
        <w:tc>
          <w:tcPr>
            <w:tcW w:w="1072" w:type="dxa"/>
          </w:tcPr>
          <w:p w14:paraId="66112E22">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169,418</w:t>
            </w:r>
          </w:p>
        </w:tc>
        <w:tc>
          <w:tcPr>
            <w:tcW w:w="921" w:type="dxa"/>
          </w:tcPr>
          <w:p w14:paraId="7A20451D">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0.2772</w:t>
            </w:r>
          </w:p>
        </w:tc>
        <w:tc>
          <w:tcPr>
            <w:tcW w:w="1168" w:type="dxa"/>
          </w:tcPr>
          <w:p w14:paraId="5480BFA2">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0.8856</w:t>
            </w:r>
          </w:p>
        </w:tc>
        <w:tc>
          <w:tcPr>
            <w:tcW w:w="1264" w:type="dxa"/>
          </w:tcPr>
          <w:p w14:paraId="7CF405C6">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0.7418</w:t>
            </w:r>
          </w:p>
        </w:tc>
        <w:tc>
          <w:tcPr>
            <w:tcW w:w="1147" w:type="dxa"/>
          </w:tcPr>
          <w:p w14:paraId="29E829FF">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0.7777</w:t>
            </w:r>
          </w:p>
        </w:tc>
        <w:tc>
          <w:tcPr>
            <w:tcW w:w="1020" w:type="dxa"/>
          </w:tcPr>
          <w:p w14:paraId="106C0958">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0.6057</w:t>
            </w:r>
          </w:p>
        </w:tc>
        <w:tc>
          <w:tcPr>
            <w:tcW w:w="1143" w:type="dxa"/>
          </w:tcPr>
          <w:p w14:paraId="1BDDDEFF">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0.6810</w:t>
            </w:r>
          </w:p>
        </w:tc>
        <w:tc>
          <w:tcPr>
            <w:tcW w:w="921" w:type="dxa"/>
          </w:tcPr>
          <w:p w14:paraId="70DB9571">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0.1341</w:t>
            </w:r>
          </w:p>
        </w:tc>
      </w:tr>
      <w:tr w14:paraId="63E5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22771B32">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Turkey</w:t>
            </w:r>
          </w:p>
        </w:tc>
        <w:tc>
          <w:tcPr>
            <w:tcW w:w="1072" w:type="dxa"/>
          </w:tcPr>
          <w:p w14:paraId="50B0FFFA">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182,604</w:t>
            </w:r>
          </w:p>
        </w:tc>
        <w:tc>
          <w:tcPr>
            <w:tcW w:w="921" w:type="dxa"/>
          </w:tcPr>
          <w:p w14:paraId="2AAF048A">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0.2877</w:t>
            </w:r>
          </w:p>
        </w:tc>
        <w:tc>
          <w:tcPr>
            <w:tcW w:w="1168" w:type="dxa"/>
          </w:tcPr>
          <w:p w14:paraId="7D9EC424">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0.8454</w:t>
            </w:r>
          </w:p>
        </w:tc>
        <w:tc>
          <w:tcPr>
            <w:tcW w:w="1264" w:type="dxa"/>
          </w:tcPr>
          <w:p w14:paraId="1394672E">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0.6922</w:t>
            </w:r>
          </w:p>
        </w:tc>
        <w:tc>
          <w:tcPr>
            <w:tcW w:w="1147" w:type="dxa"/>
          </w:tcPr>
          <w:p w14:paraId="0D0D55C1">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0.8233</w:t>
            </w:r>
          </w:p>
        </w:tc>
        <w:tc>
          <w:tcPr>
            <w:tcW w:w="1020" w:type="dxa"/>
          </w:tcPr>
          <w:p w14:paraId="61324A6C">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0.5188</w:t>
            </w:r>
          </w:p>
        </w:tc>
        <w:tc>
          <w:tcPr>
            <w:tcW w:w="1143" w:type="dxa"/>
          </w:tcPr>
          <w:p w14:paraId="3231934A">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0.6365</w:t>
            </w:r>
          </w:p>
        </w:tc>
        <w:tc>
          <w:tcPr>
            <w:tcW w:w="921" w:type="dxa"/>
          </w:tcPr>
          <w:p w14:paraId="0FDD5BF8">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0.1471</w:t>
            </w:r>
          </w:p>
        </w:tc>
      </w:tr>
      <w:tr w14:paraId="18C3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0C98FC86">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France</w:t>
            </w:r>
          </w:p>
        </w:tc>
        <w:tc>
          <w:tcPr>
            <w:tcW w:w="1072" w:type="dxa"/>
          </w:tcPr>
          <w:p w14:paraId="00C76014">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640,323</w:t>
            </w:r>
          </w:p>
        </w:tc>
        <w:tc>
          <w:tcPr>
            <w:tcW w:w="921" w:type="dxa"/>
          </w:tcPr>
          <w:p w14:paraId="4A868156">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0.1479</w:t>
            </w:r>
          </w:p>
        </w:tc>
        <w:tc>
          <w:tcPr>
            <w:tcW w:w="1168" w:type="dxa"/>
          </w:tcPr>
          <w:p w14:paraId="7076E25C">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0.8879</w:t>
            </w:r>
          </w:p>
        </w:tc>
        <w:tc>
          <w:tcPr>
            <w:tcW w:w="1264" w:type="dxa"/>
          </w:tcPr>
          <w:p w14:paraId="2A698913">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0.6442</w:t>
            </w:r>
          </w:p>
        </w:tc>
        <w:tc>
          <w:tcPr>
            <w:tcW w:w="1147" w:type="dxa"/>
          </w:tcPr>
          <w:p w14:paraId="3115A0D6">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0.8020</w:t>
            </w:r>
          </w:p>
        </w:tc>
        <w:tc>
          <w:tcPr>
            <w:tcW w:w="1020" w:type="dxa"/>
          </w:tcPr>
          <w:p w14:paraId="4198AF24">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0.3920</w:t>
            </w:r>
          </w:p>
        </w:tc>
        <w:tc>
          <w:tcPr>
            <w:tcW w:w="1143" w:type="dxa"/>
          </w:tcPr>
          <w:p w14:paraId="1BCD4C68">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0.5267</w:t>
            </w:r>
          </w:p>
        </w:tc>
        <w:tc>
          <w:tcPr>
            <w:tcW w:w="921" w:type="dxa"/>
          </w:tcPr>
          <w:p w14:paraId="13B7B8F5">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0.0808</w:t>
            </w:r>
          </w:p>
        </w:tc>
      </w:tr>
      <w:tr w14:paraId="1C648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35EBFABC">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India</w:t>
            </w:r>
          </w:p>
        </w:tc>
        <w:tc>
          <w:tcPr>
            <w:tcW w:w="1072" w:type="dxa"/>
          </w:tcPr>
          <w:p w14:paraId="706ACEFA">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205,815</w:t>
            </w:r>
          </w:p>
        </w:tc>
        <w:tc>
          <w:tcPr>
            <w:tcW w:w="921" w:type="dxa"/>
          </w:tcPr>
          <w:p w14:paraId="37CB91C7">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0.4411</w:t>
            </w:r>
          </w:p>
        </w:tc>
        <w:tc>
          <w:tcPr>
            <w:tcW w:w="1168" w:type="dxa"/>
          </w:tcPr>
          <w:p w14:paraId="38E19FA1">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0.8074</w:t>
            </w:r>
          </w:p>
        </w:tc>
        <w:tc>
          <w:tcPr>
            <w:tcW w:w="1264" w:type="dxa"/>
          </w:tcPr>
          <w:p w14:paraId="1B4C14F2">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0.7592</w:t>
            </w:r>
          </w:p>
        </w:tc>
        <w:tc>
          <w:tcPr>
            <w:tcW w:w="1147" w:type="dxa"/>
          </w:tcPr>
          <w:p w14:paraId="03351F44">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0.7343</w:t>
            </w:r>
          </w:p>
        </w:tc>
        <w:tc>
          <w:tcPr>
            <w:tcW w:w="1020" w:type="dxa"/>
          </w:tcPr>
          <w:p w14:paraId="494D4C77">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0.6606</w:t>
            </w:r>
          </w:p>
        </w:tc>
        <w:tc>
          <w:tcPr>
            <w:tcW w:w="1143" w:type="dxa"/>
          </w:tcPr>
          <w:p w14:paraId="7B93F756">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0.6955</w:t>
            </w:r>
          </w:p>
        </w:tc>
        <w:tc>
          <w:tcPr>
            <w:tcW w:w="921" w:type="dxa"/>
          </w:tcPr>
          <w:p w14:paraId="62E568B8">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0.2135</w:t>
            </w:r>
          </w:p>
        </w:tc>
      </w:tr>
    </w:tbl>
    <w:p w14:paraId="594AAE0C">
      <w:pPr>
        <w:spacing w:line="240" w:lineRule="auto"/>
        <w:rPr>
          <w:rFonts w:ascii="Times New Roman" w:hAnsi="Times New Roman" w:eastAsia="Times New Roman" w:cs="Times New Roman"/>
          <w:i/>
          <w:iCs/>
          <w:sz w:val="24"/>
          <w:szCs w:val="24"/>
          <w:highlight w:val="white"/>
        </w:rPr>
      </w:pPr>
      <w:r>
        <w:rPr>
          <w:rFonts w:ascii="Times New Roman" w:hAnsi="Times New Roman" w:eastAsia="Times New Roman" w:cs="Times New Roman"/>
          <w:i/>
          <w:iCs/>
          <w:sz w:val="24"/>
          <w:szCs w:val="24"/>
          <w:highlight w:val="white"/>
        </w:rPr>
        <w:t xml:space="preserve"> Table </w:t>
      </w:r>
      <w:r>
        <w:rPr>
          <w:rFonts w:hint="default" w:ascii="Times New Roman" w:hAnsi="Times New Roman" w:eastAsia="Times New Roman" w:cs="Times New Roman"/>
          <w:i/>
          <w:iCs/>
          <w:sz w:val="24"/>
          <w:szCs w:val="24"/>
          <w:highlight w:val="white"/>
          <w:lang w:val="en-US"/>
        </w:rPr>
        <w:t>4</w:t>
      </w:r>
      <w:r>
        <w:rPr>
          <w:rFonts w:ascii="Times New Roman" w:hAnsi="Times New Roman" w:eastAsia="Times New Roman" w:cs="Times New Roman"/>
          <w:i/>
          <w:iCs/>
          <w:sz w:val="24"/>
          <w:szCs w:val="24"/>
          <w:highlight w:val="white"/>
        </w:rPr>
        <w:t xml:space="preserve">: Country hold-out evaluation for Russia, Turkey, France, and India. </w:t>
      </w:r>
    </w:p>
    <w:p w14:paraId="34D8177E">
      <w:pPr>
        <w:spacing w:line="240" w:lineRule="auto"/>
        <w:rPr>
          <w:rFonts w:ascii="Times New Roman" w:hAnsi="Times New Roman" w:eastAsia="Times New Roman" w:cs="Times New Roman"/>
          <w:i/>
          <w:iCs/>
          <w:sz w:val="24"/>
          <w:szCs w:val="24"/>
          <w:highlight w:val="white"/>
        </w:rPr>
      </w:pPr>
    </w:p>
    <w:p w14:paraId="144544B9">
      <w:pPr>
        <w:spacing w:line="240" w:lineRule="auto"/>
        <w:rPr>
          <w:rFonts w:ascii="Times New Roman" w:hAnsi="Times New Roman" w:eastAsia="Times New Roman" w:cs="Times New Roman"/>
          <w:b/>
          <w:bCs/>
          <w:sz w:val="24"/>
          <w:szCs w:val="24"/>
          <w:highlight w:val="white"/>
        </w:rPr>
      </w:pPr>
      <w:r>
        <w:rPr>
          <w:rFonts w:ascii="Times New Roman" w:hAnsi="Times New Roman" w:eastAsia="Times New Roman" w:cs="Times New Roman"/>
          <w:b/>
          <w:bCs/>
          <w:sz w:val="24"/>
          <w:szCs w:val="24"/>
          <w:highlight w:val="white"/>
        </w:rPr>
        <w:t>3.5 Kazakhstan Resistance Inference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9"/>
        <w:gridCol w:w="1456"/>
        <w:gridCol w:w="1416"/>
        <w:gridCol w:w="855"/>
        <w:gridCol w:w="855"/>
        <w:gridCol w:w="878"/>
        <w:gridCol w:w="855"/>
        <w:gridCol w:w="936"/>
        <w:gridCol w:w="936"/>
      </w:tblGrid>
      <w:tr w14:paraId="07DC5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2638193">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Organism</w:t>
            </w:r>
          </w:p>
        </w:tc>
        <w:tc>
          <w:tcPr>
            <w:tcW w:w="1064" w:type="dxa"/>
          </w:tcPr>
          <w:p w14:paraId="688C53AB">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Mean (2017–2023)</w:t>
            </w:r>
          </w:p>
        </w:tc>
        <w:tc>
          <w:tcPr>
            <w:tcW w:w="1064" w:type="dxa"/>
          </w:tcPr>
          <w:p w14:paraId="6DCD685E">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95% CI</w:t>
            </w:r>
          </w:p>
        </w:tc>
        <w:tc>
          <w:tcPr>
            <w:tcW w:w="1064" w:type="dxa"/>
          </w:tcPr>
          <w:p w14:paraId="74E786C8">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2017</w:t>
            </w:r>
          </w:p>
        </w:tc>
        <w:tc>
          <w:tcPr>
            <w:tcW w:w="1064" w:type="dxa"/>
          </w:tcPr>
          <w:p w14:paraId="6EDDA743">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2023</w:t>
            </w:r>
          </w:p>
        </w:tc>
        <w:tc>
          <w:tcPr>
            <w:tcW w:w="1064" w:type="dxa"/>
          </w:tcPr>
          <w:p w14:paraId="03A6309E">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Trend</w:t>
            </w:r>
          </w:p>
        </w:tc>
        <w:tc>
          <w:tcPr>
            <w:tcW w:w="1064" w:type="dxa"/>
          </w:tcPr>
          <w:p w14:paraId="019AE754">
            <w:pPr>
              <w:widowControl w:val="0"/>
              <w:spacing w:line="240" w:lineRule="auto"/>
              <w:jc w:val="both"/>
              <w:rPr>
                <w:rFonts w:ascii="Times New Roman" w:hAnsi="Times New Roman" w:cs="Times New Roman"/>
                <w:sz w:val="24"/>
                <w:szCs w:val="24"/>
              </w:rPr>
            </w:pPr>
            <w:r>
              <w:rPr>
                <w:rFonts w:hint="default" w:ascii="Times New Roman" w:hAnsi="Times New Roman" w:cs="Times New Roman"/>
                <w:sz w:val="24"/>
                <w:szCs w:val="24"/>
              </w:rPr>
              <w:t>ρ</w:t>
            </w:r>
            <w:r>
              <w:rPr>
                <w:rFonts w:hint="default" w:ascii="Times New Roman" w:hAnsi="Times New Roman" w:cs="Times New Roman"/>
                <w:sz w:val="24"/>
                <w:szCs w:val="24"/>
                <w:lang w:val="en-US"/>
              </w:rPr>
              <w:t xml:space="preserve"> </w:t>
            </w:r>
          </w:p>
        </w:tc>
        <w:tc>
          <w:tcPr>
            <w:tcW w:w="1064" w:type="dxa"/>
          </w:tcPr>
          <w:p w14:paraId="5FC2E5CB">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p (BH)</w:t>
            </w:r>
          </w:p>
        </w:tc>
        <w:tc>
          <w:tcPr>
            <w:tcW w:w="1064" w:type="dxa"/>
          </w:tcPr>
          <w:p w14:paraId="1B610FA8">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p (Bonf)</w:t>
            </w:r>
          </w:p>
        </w:tc>
      </w:tr>
      <w:tr w14:paraId="1181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8A5768">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A. baumannii</w:t>
            </w:r>
          </w:p>
        </w:tc>
        <w:tc>
          <w:tcPr>
            <w:tcW w:w="1064" w:type="dxa"/>
          </w:tcPr>
          <w:p w14:paraId="141D76D5">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0.551</w:t>
            </w:r>
          </w:p>
        </w:tc>
        <w:tc>
          <w:tcPr>
            <w:tcW w:w="1064" w:type="dxa"/>
          </w:tcPr>
          <w:p w14:paraId="5E2C87B7">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0.508–0.591</w:t>
            </w:r>
          </w:p>
        </w:tc>
        <w:tc>
          <w:tcPr>
            <w:tcW w:w="1064" w:type="dxa"/>
          </w:tcPr>
          <w:p w14:paraId="43E1C8B2">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0.562</w:t>
            </w:r>
          </w:p>
        </w:tc>
        <w:tc>
          <w:tcPr>
            <w:tcW w:w="1064" w:type="dxa"/>
          </w:tcPr>
          <w:p w14:paraId="294E7533">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0.662</w:t>
            </w:r>
          </w:p>
        </w:tc>
        <w:tc>
          <w:tcPr>
            <w:tcW w:w="1064" w:type="dxa"/>
          </w:tcPr>
          <w:p w14:paraId="5D1056CC">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rising</w:t>
            </w:r>
          </w:p>
        </w:tc>
        <w:tc>
          <w:tcPr>
            <w:tcW w:w="1064" w:type="dxa"/>
          </w:tcPr>
          <w:p w14:paraId="40C08C7B">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0.786</w:t>
            </w:r>
          </w:p>
        </w:tc>
        <w:tc>
          <w:tcPr>
            <w:tcW w:w="1064" w:type="dxa"/>
          </w:tcPr>
          <w:p w14:paraId="0CBBC996">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0.0489</w:t>
            </w:r>
          </w:p>
        </w:tc>
        <w:tc>
          <w:tcPr>
            <w:tcW w:w="1064" w:type="dxa"/>
          </w:tcPr>
          <w:p w14:paraId="33633D8C">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0.2174</w:t>
            </w:r>
          </w:p>
        </w:tc>
      </w:tr>
      <w:tr w14:paraId="76F3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DF603F">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K. pneumoniae</w:t>
            </w:r>
          </w:p>
        </w:tc>
        <w:tc>
          <w:tcPr>
            <w:tcW w:w="1064" w:type="dxa"/>
          </w:tcPr>
          <w:p w14:paraId="248BC5BE">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0.434</w:t>
            </w:r>
          </w:p>
        </w:tc>
        <w:tc>
          <w:tcPr>
            <w:tcW w:w="1064" w:type="dxa"/>
          </w:tcPr>
          <w:p w14:paraId="23953815">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0.383–0.486</w:t>
            </w:r>
          </w:p>
        </w:tc>
        <w:tc>
          <w:tcPr>
            <w:tcW w:w="1064" w:type="dxa"/>
          </w:tcPr>
          <w:p w14:paraId="57E61DC4">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0.399</w:t>
            </w:r>
          </w:p>
        </w:tc>
        <w:tc>
          <w:tcPr>
            <w:tcW w:w="1064" w:type="dxa"/>
          </w:tcPr>
          <w:p w14:paraId="6EFD3890">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0.561</w:t>
            </w:r>
          </w:p>
        </w:tc>
        <w:tc>
          <w:tcPr>
            <w:tcW w:w="1064" w:type="dxa"/>
          </w:tcPr>
          <w:p w14:paraId="45938763">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rising</w:t>
            </w:r>
          </w:p>
        </w:tc>
        <w:tc>
          <w:tcPr>
            <w:tcW w:w="1064" w:type="dxa"/>
          </w:tcPr>
          <w:p w14:paraId="1794FE63">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0.536</w:t>
            </w:r>
          </w:p>
        </w:tc>
        <w:tc>
          <w:tcPr>
            <w:tcW w:w="1064" w:type="dxa"/>
          </w:tcPr>
          <w:p w14:paraId="6AB098E5">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0.2152</w:t>
            </w:r>
          </w:p>
        </w:tc>
        <w:tc>
          <w:tcPr>
            <w:tcW w:w="1064" w:type="dxa"/>
          </w:tcPr>
          <w:p w14:paraId="032ADAD4">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&gt;0.99</w:t>
            </w:r>
          </w:p>
        </w:tc>
      </w:tr>
      <w:tr w14:paraId="70F56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00C51A">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E. faecium</w:t>
            </w:r>
          </w:p>
        </w:tc>
        <w:tc>
          <w:tcPr>
            <w:tcW w:w="1064" w:type="dxa"/>
          </w:tcPr>
          <w:p w14:paraId="6185F879">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0.423</w:t>
            </w:r>
          </w:p>
        </w:tc>
        <w:tc>
          <w:tcPr>
            <w:tcW w:w="1064" w:type="dxa"/>
          </w:tcPr>
          <w:p w14:paraId="26D393F8">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0.365–0.481</w:t>
            </w:r>
          </w:p>
        </w:tc>
        <w:tc>
          <w:tcPr>
            <w:tcW w:w="1064" w:type="dxa"/>
          </w:tcPr>
          <w:p w14:paraId="730DA5C1">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0.376</w:t>
            </w:r>
          </w:p>
        </w:tc>
        <w:tc>
          <w:tcPr>
            <w:tcW w:w="1064" w:type="dxa"/>
          </w:tcPr>
          <w:p w14:paraId="2934740E">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0.609</w:t>
            </w:r>
          </w:p>
        </w:tc>
        <w:tc>
          <w:tcPr>
            <w:tcW w:w="1064" w:type="dxa"/>
          </w:tcPr>
          <w:p w14:paraId="355D5AF2">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rising</w:t>
            </w:r>
          </w:p>
        </w:tc>
        <w:tc>
          <w:tcPr>
            <w:tcW w:w="1064" w:type="dxa"/>
          </w:tcPr>
          <w:p w14:paraId="08498B4F">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0.786</w:t>
            </w:r>
          </w:p>
        </w:tc>
        <w:tc>
          <w:tcPr>
            <w:tcW w:w="1064" w:type="dxa"/>
          </w:tcPr>
          <w:p w14:paraId="360C4AEE">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0.0489</w:t>
            </w:r>
          </w:p>
        </w:tc>
        <w:tc>
          <w:tcPr>
            <w:tcW w:w="1064" w:type="dxa"/>
          </w:tcPr>
          <w:p w14:paraId="04A3CF47">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0.2174</w:t>
            </w:r>
          </w:p>
        </w:tc>
      </w:tr>
      <w:tr w14:paraId="0E24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BCBE94">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P. aeruginosa</w:t>
            </w:r>
          </w:p>
        </w:tc>
        <w:tc>
          <w:tcPr>
            <w:tcW w:w="1064" w:type="dxa"/>
          </w:tcPr>
          <w:p w14:paraId="2739AE21">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0.269</w:t>
            </w:r>
          </w:p>
        </w:tc>
        <w:tc>
          <w:tcPr>
            <w:tcW w:w="1064" w:type="dxa"/>
          </w:tcPr>
          <w:p w14:paraId="1AEDFCF6">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0.242–0.295</w:t>
            </w:r>
          </w:p>
        </w:tc>
        <w:tc>
          <w:tcPr>
            <w:tcW w:w="1064" w:type="dxa"/>
          </w:tcPr>
          <w:p w14:paraId="013F7EA4">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0.291</w:t>
            </w:r>
          </w:p>
        </w:tc>
        <w:tc>
          <w:tcPr>
            <w:tcW w:w="1064" w:type="dxa"/>
          </w:tcPr>
          <w:p w14:paraId="4B6947B9">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0.348</w:t>
            </w:r>
          </w:p>
        </w:tc>
        <w:tc>
          <w:tcPr>
            <w:tcW w:w="1064" w:type="dxa"/>
          </w:tcPr>
          <w:p w14:paraId="5D50C65F">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rising</w:t>
            </w:r>
          </w:p>
        </w:tc>
        <w:tc>
          <w:tcPr>
            <w:tcW w:w="1064" w:type="dxa"/>
          </w:tcPr>
          <w:p w14:paraId="533842EB">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0.775</w:t>
            </w:r>
          </w:p>
        </w:tc>
        <w:tc>
          <w:tcPr>
            <w:tcW w:w="1064" w:type="dxa"/>
          </w:tcPr>
          <w:p w14:paraId="0752D00D">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0.0489</w:t>
            </w:r>
          </w:p>
        </w:tc>
        <w:tc>
          <w:tcPr>
            <w:tcW w:w="1064" w:type="dxa"/>
          </w:tcPr>
          <w:p w14:paraId="771A077F">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0.2446</w:t>
            </w:r>
          </w:p>
        </w:tc>
      </w:tr>
      <w:tr w14:paraId="6194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F99483">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E. coli</w:t>
            </w:r>
          </w:p>
        </w:tc>
        <w:tc>
          <w:tcPr>
            <w:tcW w:w="1064" w:type="dxa"/>
          </w:tcPr>
          <w:p w14:paraId="1A3429F3">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0.267</w:t>
            </w:r>
          </w:p>
        </w:tc>
        <w:tc>
          <w:tcPr>
            <w:tcW w:w="1064" w:type="dxa"/>
          </w:tcPr>
          <w:p w14:paraId="47ADA461">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0.226–0.307</w:t>
            </w:r>
          </w:p>
        </w:tc>
        <w:tc>
          <w:tcPr>
            <w:tcW w:w="1064" w:type="dxa"/>
          </w:tcPr>
          <w:p w14:paraId="630365EB">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0.201</w:t>
            </w:r>
          </w:p>
        </w:tc>
        <w:tc>
          <w:tcPr>
            <w:tcW w:w="1064" w:type="dxa"/>
          </w:tcPr>
          <w:p w14:paraId="6C1E5DF5">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0.402</w:t>
            </w:r>
          </w:p>
        </w:tc>
        <w:tc>
          <w:tcPr>
            <w:tcW w:w="1064" w:type="dxa"/>
          </w:tcPr>
          <w:p w14:paraId="238BB8AC">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rising</w:t>
            </w:r>
          </w:p>
        </w:tc>
        <w:tc>
          <w:tcPr>
            <w:tcW w:w="1064" w:type="dxa"/>
          </w:tcPr>
          <w:p w14:paraId="11647BA9">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0.786</w:t>
            </w:r>
          </w:p>
        </w:tc>
        <w:tc>
          <w:tcPr>
            <w:tcW w:w="1064" w:type="dxa"/>
          </w:tcPr>
          <w:p w14:paraId="5DB26B5C">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0.0489</w:t>
            </w:r>
          </w:p>
        </w:tc>
        <w:tc>
          <w:tcPr>
            <w:tcW w:w="1064" w:type="dxa"/>
          </w:tcPr>
          <w:p w14:paraId="6B1D06CA">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0.2174</w:t>
            </w:r>
          </w:p>
        </w:tc>
      </w:tr>
      <w:tr w14:paraId="5AE12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48ED53">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S. aureus</w:t>
            </w:r>
          </w:p>
        </w:tc>
        <w:tc>
          <w:tcPr>
            <w:tcW w:w="1064" w:type="dxa"/>
          </w:tcPr>
          <w:p w14:paraId="106D3A90">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0.097</w:t>
            </w:r>
          </w:p>
        </w:tc>
        <w:tc>
          <w:tcPr>
            <w:tcW w:w="1064" w:type="dxa"/>
          </w:tcPr>
          <w:p w14:paraId="3DEE962E">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0.080–0.115</w:t>
            </w:r>
          </w:p>
        </w:tc>
        <w:tc>
          <w:tcPr>
            <w:tcW w:w="1064" w:type="dxa"/>
          </w:tcPr>
          <w:p w14:paraId="5E263777">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0.111</w:t>
            </w:r>
          </w:p>
        </w:tc>
        <w:tc>
          <w:tcPr>
            <w:tcW w:w="1064" w:type="dxa"/>
          </w:tcPr>
          <w:p w14:paraId="2CEFCDA9">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0.141</w:t>
            </w:r>
          </w:p>
        </w:tc>
        <w:tc>
          <w:tcPr>
            <w:tcW w:w="1064" w:type="dxa"/>
          </w:tcPr>
          <w:p w14:paraId="3D713B76">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rising</w:t>
            </w:r>
          </w:p>
        </w:tc>
        <w:tc>
          <w:tcPr>
            <w:tcW w:w="1064" w:type="dxa"/>
          </w:tcPr>
          <w:p w14:paraId="2587B8F8">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0.786</w:t>
            </w:r>
          </w:p>
        </w:tc>
        <w:tc>
          <w:tcPr>
            <w:tcW w:w="1064" w:type="dxa"/>
          </w:tcPr>
          <w:p w14:paraId="07E7BE80">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0.0489</w:t>
            </w:r>
          </w:p>
        </w:tc>
        <w:tc>
          <w:tcPr>
            <w:tcW w:w="1064" w:type="dxa"/>
          </w:tcPr>
          <w:p w14:paraId="624D6DB1">
            <w:pPr>
              <w:widowControl w:val="0"/>
              <w:spacing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0.2174</w:t>
            </w:r>
          </w:p>
        </w:tc>
      </w:tr>
    </w:tbl>
    <w:p w14:paraId="0D451C2D">
      <w:pPr>
        <w:spacing w:line="240" w:lineRule="auto"/>
        <w:rPr>
          <w:rFonts w:hint="default" w:ascii="Times New Roman" w:hAnsi="Times New Roman" w:eastAsia="Times New Roman" w:cs="Times New Roman"/>
          <w:i/>
          <w:iCs/>
          <w:sz w:val="24"/>
          <w:szCs w:val="24"/>
          <w:highlight w:val="white"/>
          <w:lang w:val="en-US"/>
        </w:rPr>
      </w:pPr>
      <w:r>
        <w:rPr>
          <w:rFonts w:ascii="Times New Roman" w:hAnsi="Times New Roman" w:eastAsia="Times New Roman" w:cs="Times New Roman"/>
          <w:i/>
          <w:iCs/>
          <w:sz w:val="24"/>
          <w:szCs w:val="24"/>
          <w:highlight w:val="white"/>
        </w:rPr>
        <w:t xml:space="preserve">Table </w:t>
      </w:r>
      <w:r>
        <w:rPr>
          <w:rFonts w:hint="default" w:ascii="Times New Roman" w:hAnsi="Times New Roman" w:eastAsia="Times New Roman" w:cs="Times New Roman"/>
          <w:i/>
          <w:iCs/>
          <w:sz w:val="24"/>
          <w:szCs w:val="24"/>
          <w:highlight w:val="white"/>
          <w:lang w:val="en-US"/>
        </w:rPr>
        <w:t>5</w:t>
      </w:r>
      <w:r>
        <w:rPr>
          <w:rFonts w:ascii="Times New Roman" w:hAnsi="Times New Roman" w:eastAsia="Times New Roman" w:cs="Times New Roman"/>
          <w:i/>
          <w:iCs/>
          <w:sz w:val="24"/>
          <w:szCs w:val="24"/>
          <w:highlight w:val="white"/>
        </w:rPr>
        <w:t>. Predicted probabilities of resistance (2017–2023) with associated 95% bootstrap CIs (1,000 resamples) for six WHO-priority pathogens for Kazakhstan, based on the global LOCO model. Spearman trend statistics are ρ, p(BH), and p(Bonf)</w:t>
      </w:r>
      <w:r>
        <w:rPr>
          <w:rFonts w:hint="default" w:ascii="Times New Roman" w:hAnsi="Times New Roman" w:eastAsia="Times New Roman" w:cs="Times New Roman"/>
          <w:i/>
          <w:iCs/>
          <w:sz w:val="24"/>
          <w:szCs w:val="24"/>
          <w:highlight w:val="white"/>
          <w:lang w:val="en-US"/>
        </w:rPr>
        <w:t>.</w:t>
      </w:r>
    </w:p>
    <w:p w14:paraId="3131748A">
      <w:pPr>
        <w:pStyle w:val="13"/>
        <w:rPr>
          <w:lang w:val="en-US"/>
        </w:rPr>
      </w:pPr>
      <w:r>
        <w:rPr>
          <w:highlight w:val="white"/>
          <w:lang w:val="en-US"/>
        </w:rPr>
        <w:br w:type="textWrapping"/>
      </w:r>
      <w:r>
        <w:rPr>
          <w:rStyle w:val="26"/>
          <w:lang w:val="en-US"/>
        </w:rPr>
        <w:t>The mean calibrated</w:t>
      </w:r>
      <w:r>
        <w:rPr>
          <w:rStyle w:val="26"/>
          <w:rFonts w:hint="default"/>
          <w:lang w:val="ru-RU"/>
        </w:rPr>
        <w:t xml:space="preserve"> </w:t>
      </w:r>
      <w:r>
        <w:rPr>
          <w:rStyle w:val="26"/>
          <w:rFonts w:hint="default"/>
          <w:lang w:val="en-US"/>
        </w:rPr>
        <w:t>resistance probability</w:t>
      </w:r>
      <w:r>
        <w:rPr>
          <w:rStyle w:val="26"/>
          <w:lang w:val="en-US"/>
        </w:rPr>
        <w:t xml:space="preserve"> for each of Kazakhstan's six WHO-priority pathogens (2017–2023) is reported in Table </w:t>
      </w:r>
      <w:r>
        <w:rPr>
          <w:rStyle w:val="26"/>
          <w:rFonts w:hint="default"/>
          <w:lang w:val="en-US"/>
        </w:rPr>
        <w:t>5</w:t>
      </w:r>
      <w:r>
        <w:rPr>
          <w:rStyle w:val="26"/>
          <w:lang w:val="en-US"/>
        </w:rPr>
        <w:t>, with 95% bootstrap (1,000 resamples) CIs to show uncertainty.</w:t>
      </w:r>
      <w:r>
        <w:rPr>
          <w:lang w:val="en-US"/>
        </w:rPr>
        <w:br w:type="textWrapping"/>
      </w:r>
      <w:r>
        <w:rPr>
          <w:rStyle w:val="26"/>
          <w:lang w:val="en-US"/>
        </w:rPr>
        <w:t>Three pathogens had high mean predicted resistance (PMR) values, with </w:t>
      </w:r>
      <w:r>
        <w:rPr>
          <w:rStyle w:val="11"/>
          <w:lang w:val="en-US"/>
        </w:rPr>
        <w:t>Acinetobacter baumannii</w:t>
      </w:r>
      <w:r>
        <w:rPr>
          <w:rStyle w:val="26"/>
          <w:lang w:val="en-US"/>
        </w:rPr>
        <w:t> (0.551) being the most resistant, followed by </w:t>
      </w:r>
      <w:r>
        <w:rPr>
          <w:rStyle w:val="11"/>
          <w:lang w:val="en-US"/>
        </w:rPr>
        <w:t>Klebsiella pneumoniae</w:t>
      </w:r>
      <w:r>
        <w:rPr>
          <w:rStyle w:val="26"/>
          <w:lang w:val="en-US"/>
        </w:rPr>
        <w:t> (0.434) and </w:t>
      </w:r>
      <w:r>
        <w:rPr>
          <w:rStyle w:val="11"/>
          <w:lang w:val="en-US"/>
        </w:rPr>
        <w:t>Enterococcus faecium</w:t>
      </w:r>
      <w:r>
        <w:rPr>
          <w:rStyle w:val="26"/>
          <w:lang w:val="en-US"/>
        </w:rPr>
        <w:t> (0.423).</w:t>
      </w:r>
      <w:r>
        <w:rPr>
          <w:lang w:val="en-US"/>
        </w:rPr>
        <w:t> </w:t>
      </w:r>
      <w:r>
        <w:rPr>
          <w:rStyle w:val="11"/>
          <w:lang w:val="en-US"/>
        </w:rPr>
        <w:t>Staphylococcus aureus</w:t>
      </w:r>
      <w:r>
        <w:rPr>
          <w:rStyle w:val="26"/>
          <w:lang w:val="en-US"/>
        </w:rPr>
        <w:t> had the lowest (0.097; 95% CI 0.080–0.115).</w:t>
      </w:r>
      <w:r>
        <w:rPr>
          <w:lang w:val="en-US"/>
        </w:rPr>
        <w:t xml:space="preserve"> </w:t>
      </w:r>
      <w:r>
        <w:rPr>
          <w:rStyle w:val="26"/>
          <w:lang w:val="en-US"/>
        </w:rPr>
        <w:t>None of the organisms exhibited a decrease in predicted probability during the study period from 2017 to 2023.</w:t>
      </w:r>
      <w:r>
        <w:rPr>
          <w:lang w:val="en-US"/>
        </w:rPr>
        <w:t xml:space="preserve"> </w:t>
      </w:r>
      <w:r>
        <w:rPr>
          <w:rStyle w:val="26"/>
          <w:lang w:val="en-US"/>
        </w:rPr>
        <w:t>A Spearman rank correlation with Benjamini–Hochberg FDR correction was performed on the annual mean series for the 6 pathogens.</w:t>
      </w:r>
      <w:r>
        <w:rPr>
          <w:lang w:val="en-US"/>
        </w:rPr>
        <w:t xml:space="preserve"> </w:t>
      </w:r>
      <w:r>
        <w:rPr>
          <w:rStyle w:val="26"/>
          <w:lang w:val="en-US"/>
        </w:rPr>
        <w:t>Of these organisms, five showed positive trends that passed FDR</w:t>
      </w:r>
      <w:r>
        <w:rPr>
          <w:lang w:val="en-US"/>
        </w:rPr>
        <w:t xml:space="preserve"> (pBH &lt; 0.049) but did not meet the Bonferroni correction; these are considered hypothesis-generating and should not be considered conclusive. </w:t>
      </w:r>
      <w:r>
        <w:rPr>
          <w:rStyle w:val="11"/>
          <w:lang w:val="en-US"/>
        </w:rPr>
        <w:t>K. pneumoniae</w:t>
      </w:r>
      <w:r>
        <w:rPr>
          <w:lang w:val="en-US"/>
        </w:rPr>
        <w:t> showed no significant trend (</w:t>
      </w:r>
      <w:r>
        <w:t>ρ</w:t>
      </w:r>
      <w:r>
        <w:rPr>
          <w:lang w:val="en-US"/>
        </w:rPr>
        <w:t xml:space="preserve"> = 0.536, pBH = 0.215).</w:t>
      </w:r>
      <w:r>
        <w:rPr>
          <w:lang w:val="en-US"/>
        </w:rPr>
        <w:br w:type="textWrapping"/>
      </w:r>
      <w:r>
        <w:rPr>
          <w:lang w:val="en-US"/>
        </w:rPr>
        <w:t xml:space="preserve">At the level of the antibiotic class, the highest rate of predicted antibiotic resistance occurred for penicillins, with almost complete intrinsic resistance to ampicillin (0.99), and most strongly in </w:t>
      </w:r>
      <w:r>
        <w:rPr>
          <w:rStyle w:val="11"/>
          <w:lang w:val="en-US"/>
        </w:rPr>
        <w:t>Enterococcus faecium</w:t>
      </w:r>
      <w:r>
        <w:rPr>
          <w:lang w:val="en-US"/>
        </w:rPr>
        <w:t xml:space="preserve"> (0.89) and </w:t>
      </w:r>
      <w:r>
        <w:rPr>
          <w:rStyle w:val="11"/>
          <w:lang w:val="en-US"/>
        </w:rPr>
        <w:t>Klebsiella pneumoniae</w:t>
      </w:r>
      <w:r>
        <w:rPr>
          <w:lang w:val="en-US"/>
        </w:rPr>
        <w:t xml:space="preserve"> (0.99), the latter two being typically highly resistant to ampicillin. For the other classes, the highest scores were observed for </w:t>
      </w:r>
      <w:r>
        <w:rPr>
          <w:rStyle w:val="11"/>
          <w:lang w:val="en-US"/>
        </w:rPr>
        <w:t>E. faecium</w:t>
      </w:r>
      <w:r>
        <w:rPr>
          <w:lang w:val="en-US"/>
        </w:rPr>
        <w:t xml:space="preserve"> (fluoroquinolones, 0.56), </w:t>
      </w:r>
      <w:r>
        <w:rPr>
          <w:rStyle w:val="11"/>
          <w:lang w:val="en-US"/>
        </w:rPr>
        <w:t>K. pneumoniae</w:t>
      </w:r>
      <w:r>
        <w:rPr>
          <w:lang w:val="en-US"/>
        </w:rPr>
        <w:t xml:space="preserve"> (cephalosporins, 0.54), and </w:t>
      </w:r>
      <w:r>
        <w:rPr>
          <w:rStyle w:val="11"/>
          <w:lang w:val="en-US"/>
        </w:rPr>
        <w:t>A. baumannii</w:t>
      </w:r>
      <w:r>
        <w:rPr>
          <w:lang w:val="en-US"/>
        </w:rPr>
        <w:t xml:space="preserve"> (cephalosporins, 0.73).</w:t>
      </w:r>
    </w:p>
    <w:p w14:paraId="110CD1FF">
      <w:pPr>
        <w:pStyle w:val="13"/>
        <w:rPr>
          <w:lang w:val="en-US"/>
        </w:rPr>
      </w:pPr>
      <w:r>
        <w:rPr>
          <w:rStyle w:val="14"/>
          <w:lang w:val="en-US"/>
        </w:rPr>
        <w:t>Discussion</w:t>
      </w:r>
    </w:p>
    <w:p w14:paraId="4841AE3F">
      <w:pPr>
        <w:pStyle w:val="13"/>
        <w:rPr>
          <w:lang w:val="en-US"/>
        </w:rPr>
      </w:pPr>
      <w:r>
        <w:rPr>
          <w:rStyle w:val="14"/>
          <w:lang w:val="en-US"/>
        </w:rPr>
        <w:t>4.1 Key Findings</w:t>
      </w:r>
    </w:p>
    <w:p w14:paraId="7091D585">
      <w:pPr>
        <w:pStyle w:val="13"/>
        <w:rPr>
          <w:lang w:val="en-US"/>
        </w:rPr>
      </w:pPr>
      <w:r>
        <w:rPr>
          <w:lang w:val="en-US"/>
        </w:rPr>
        <w:t xml:space="preserve">The hypothesis that the determinants of AMR are sufficiently universal to allow forecasting at a cross-country level prior to gathering local data was tested. The model performed well in validation and supported—though did not prove—the hypothesis, because the model had a global hold-out AUC score of 0.849 and a LOCO validation AUC score of 0.881 without using any Kazakhstani training set samples. There is a lack of validation samples—isolates—from Kazakhstan against which performance can be directly measured. The biggest predictors were organism and antibiotic identity (75% of the total importance), with the removal of this information causing a decrease in AUC from 0.848 to 0.618, while no macroeconomic group removed led to a change in AUC of more than 0.004. Accordingly, the ranking of resistance is mainly dependent on the organism–antibiotic combination and agrees well with MacFadden et al. ((D. R. MacFadden, S. F. McGough, D. Fisman, M. Santillana, J. S. Brownstein. Antibiotic resistance increases with local temperature. Nature Climate Change. Vol. 8, pg. 510–514, 2018, https://doi.org/10.1038/s41558-018-0161-6.)). The only pathway through which country-level variation arises in the Kazakhstan inference is in the macroeconomic and consumption features, with their overall contribution to the global discrimination being unimportant. A model for Kazakhstan identified </w:t>
      </w:r>
      <w:r>
        <w:rPr>
          <w:rStyle w:val="11"/>
          <w:lang w:val="en-US"/>
        </w:rPr>
        <w:t>A. baumannii</w:t>
      </w:r>
      <w:r>
        <w:rPr>
          <w:lang w:val="en-US"/>
        </w:rPr>
        <w:t xml:space="preserve"> as the most worrisome pathogen (mean 0.55), followed by </w:t>
      </w:r>
      <w:r>
        <w:rPr>
          <w:rStyle w:val="11"/>
          <w:lang w:val="en-US"/>
        </w:rPr>
        <w:t>K. pneumoniae</w:t>
      </w:r>
      <w:r>
        <w:rPr>
          <w:lang w:val="en-US"/>
        </w:rPr>
        <w:t xml:space="preserve"> and </w:t>
      </w:r>
      <w:r>
        <w:rPr>
          <w:rStyle w:val="11"/>
          <w:lang w:val="en-US"/>
        </w:rPr>
        <w:t>E. faecium</w:t>
      </w:r>
      <w:r>
        <w:rPr>
          <w:lang w:val="en-US"/>
        </w:rPr>
        <w:t xml:space="preserve"> (means of ~0.43); higher GDP and health expenditure were correlated with lower predicted resistance, consistent with Laxminarayan et al. ((R. Laxminarayan, A. Duse, C. Wattal, A. K. M. Zaidi, H. F. L. Wertheim, N. Sumpradit, E. Vlieghe, G. L. Hara, I. M. Gould, H. Goossens, C. Greko, A. D. So, M. Bigdeli, G. Tomson, W. Woodhouse, E. Ombaka, A. Q. Peralta, F. N. Qamar, F. Mir, [...], O. Cars. Antibiotic resistance — the need for global solutions. The Lancet Infectious Diseases. Vol. 13, pg. 1057–1098, 2013, https://doi.org/10.1016/S1473-3099(13)70318-9.)). Overall, 66.9% of inferences fell above the 20% actionability threshold.</w:t>
      </w:r>
    </w:p>
    <w:p w14:paraId="561F40C2">
      <w:pPr>
        <w:pStyle w:val="13"/>
        <w:rPr>
          <w:lang w:val="en-US"/>
        </w:rPr>
      </w:pPr>
      <w:r>
        <w:rPr>
          <w:rStyle w:val="14"/>
          <w:lang w:val="en-US"/>
        </w:rPr>
        <w:t>4.2 Implications</w:t>
      </w:r>
    </w:p>
    <w:p w14:paraId="50742277">
      <w:pPr>
        <w:pStyle w:val="13"/>
        <w:rPr>
          <w:lang w:val="en-US"/>
        </w:rPr>
      </w:pPr>
      <w:r>
        <w:rPr>
          <w:lang w:val="en-US"/>
        </w:rPr>
        <w:t>Most countries without isolate-level AMR surveillance possess countrywide data and antibiotic consumption knowledge; for those that lack such resources, a viable precedent exists to help prioritise scarce AMR surveillance resources in the interim. A health system may, however, obtain a ranked, organism-specific risk rating that will help determine pathogen–antibiotic combinations that need to be initially confirmed. This decoupling of resistance levels (intrinsic resistance and absolute resistance) explains why resistance ranking can be transferred even without calibration: discrimination alone can be transferred across borders without calibration.</w:t>
      </w:r>
    </w:p>
    <w:p w14:paraId="07FC6CFB">
      <w:pPr>
        <w:pStyle w:val="13"/>
        <w:rPr>
          <w:b/>
          <w:bCs/>
          <w:lang w:val="en-US"/>
        </w:rPr>
      </w:pPr>
      <w:r>
        <w:rPr>
          <w:b/>
          <w:bCs/>
          <w:lang w:val="en-US"/>
        </w:rPr>
        <w:t>4.3 Model Selection</w:t>
      </w:r>
    </w:p>
    <w:p w14:paraId="48ACF388">
      <w:pPr>
        <w:pStyle w:val="13"/>
        <w:rPr>
          <w:lang w:val="en-US"/>
        </w:rPr>
      </w:pPr>
      <w:r>
        <w:rPr>
          <w:lang w:val="en-US"/>
        </w:rPr>
        <w:t xml:space="preserve">The selection was accomplished on a clinical rather than a statistical basis. </w:t>
      </w:r>
      <w:r>
        <w:rPr>
          <w:rFonts w:hint="default" w:ascii="Times New Roman" w:hAnsi="Times New Roman" w:eastAsia="Segoe UI" w:cs="Times New Roman"/>
          <w:i w:val="0"/>
          <w:iCs w:val="0"/>
          <w:caps w:val="0"/>
          <w:color w:val="auto"/>
          <w:spacing w:val="0"/>
          <w:sz w:val="24"/>
          <w:szCs w:val="24"/>
          <w:shd w:val="clear" w:fill="FFFFFF"/>
        </w:rPr>
        <w:t>Although LightGBM had a slightly higher AUC than CatBoost (0.851 vs 0.849), the absolute difference was clinically negligible. The DeLong test identified this small difference as statistically significant because of the multi-million-row sample size. Model selection therefore followed the pre-specified clinical operating criterion, Recall@0.2, where CatBoost was higher (0.797 vs 0.782).</w:t>
      </w:r>
      <w:r>
        <w:rPr>
          <w:rFonts w:hint="default" w:ascii="Times New Roman" w:hAnsi="Times New Roman" w:cs="Times New Roman"/>
          <w:color w:val="auto"/>
          <w:sz w:val="24"/>
          <w:szCs w:val="24"/>
          <w:lang w:val="en-US"/>
        </w:rPr>
        <w:t xml:space="preserve"> </w:t>
      </w:r>
      <w:r>
        <w:rPr>
          <w:lang w:val="en-US"/>
        </w:rPr>
        <w:t>With isotonic calibration, the value of ECE was lowered to 0.012, which is not significantly different from its previous value ((M. H. Kollef, A. F. Shorr, M. Bassetti, J.-F. Timsit, S. T. Micek, A. P. Michelson, J. Garnacho-Montero. Timing of antibiotic therapy in the ICU. Critical Care. Vol. 25, Article 360, 2021, https://doi.org/10.1186/s13054-021-03787-z.)), and t</w:t>
      </w:r>
      <w:bookmarkStart w:id="1" w:name="_GoBack"/>
      <w:bookmarkEnd w:id="1"/>
      <w:r>
        <w:rPr>
          <w:lang w:val="en-US"/>
        </w:rPr>
        <w:t>he 20% limit is very much in line with previous stewardship efforts.</w:t>
      </w:r>
    </w:p>
    <w:p w14:paraId="1387C66A">
      <w:pPr>
        <w:pStyle w:val="13"/>
      </w:pPr>
      <w:r>
        <w:rPr>
          <w:rStyle w:val="14"/>
        </w:rPr>
        <w:t>4.4 Applications and Potential Research Directions</w:t>
      </w:r>
    </w:p>
    <w:p w14:paraId="0340727A">
      <w:pPr>
        <w:pStyle w:val="13"/>
        <w:rPr>
          <w:lang w:val="en-US"/>
        </w:rPr>
      </w:pPr>
      <w:r>
        <w:rPr>
          <w:lang w:val="en-US"/>
        </w:rPr>
        <w:t>Most previous AMR prediction algorithms rely on genome sequencing ((A. Drouin, G. Letarte, F. Raymond, M. Marchand, J. Corbeil, F. Laviolette. Interpretable genotype-to-phenotype classifiers with performance guarantees. Scientific Reports. Vol. 9, Article 4071, 2019, https://doi.org/10.1038/s41598-019-40561-2.)) or on local surveillance ((D. R. MacFadden, S. F. McGough, D. Fisman, M. Santillana, J. S. Brownstein. Antibiotic resistance increases with local temperature. Nature Climate Change. Vol. 8, pg. 510–514, 2018, https://doi.org/10.1038/s41558-018-0161-6.)); thus, they may not be available in settings lacking surveillance or sequencing. In this method, only macro-proxy data are used to predict resistance rates for all six priority pathogens using no locally isolated pathogens. The AUC achieved by its hold-out data of 0.849 is very close to per-drug genomic AUC models (0.83–0.94) ((D. Aytan-Aktug, P. T. L. C. Clausen, V. Bortolaia, F. M. Aarestrup, O. Lund. Prediction of acquired antimicrobial resistance for multiple bacterial species using neural networks. mSystems. Vol. 5, Article e00774-19, 2020, https://doi.org/10.1128/mSystems.00774-19.)) and species-specific MALDI-TOF models (0.81–0.85) ((N. Wiesmann, D. Enders, A. Westendorf, R. Koch, F. Schaumburg. Prediction of antimicrobial resistance from MALDI-TOF mass spectra using machine learning: a validation study. Journal of Clinical Microbiology. Vol. 63, Article e01186-25, 2025, https://doi.org/10.1128/jcm.01186-25.)) and better than EHR machine-learning-based patient-specific AUC models (0.80) ((Y. Kim, I. Jeong, J.-H. Park, et al. Multi-task learning based early prediction model for antibiotic resistance using multi-institutional cohort data. Scientific Reports. Vol. 16, Article 11891, 2026, https://doi.org/10.1038/s41598-026-41185-z.)) — exactly as expected when launching without local data, which is the scenario where a cross-country applied XGBoost model achieved an AUC of 0.96 ((S. Valavarasu, Y. Sangu, T. Mahapatra. Prediction of antibiotic resistance from antibiotic susceptibility testing results from surveillance data using machine learning. Scientific Reports. Vol. 15, Article 30509, 2025, https://doi.org/10.1038/s41598-025-14078-w.)) on this same database.</w:t>
      </w:r>
    </w:p>
    <w:p w14:paraId="06D9BA7B">
      <w:pPr>
        <w:pStyle w:val="13"/>
        <w:rPr>
          <w:lang w:val="en-US"/>
        </w:rPr>
      </w:pPr>
      <w:r>
        <w:rPr>
          <w:rStyle w:val="14"/>
          <w:lang w:val="en-US"/>
        </w:rPr>
        <w:t>4.5 Kazakhstan Inferences and Face Validity</w:t>
      </w:r>
    </w:p>
    <w:p w14:paraId="170A246A">
      <w:pPr>
        <w:pStyle w:val="13"/>
        <w:rPr>
          <w:lang w:val="en-US"/>
        </w:rPr>
      </w:pPr>
      <w:r>
        <w:rPr>
          <w:lang w:val="en-US"/>
        </w:rPr>
        <w:t xml:space="preserve">Broken down by antibiotic class, predicted resistance was dominated by penicillins, reflecting the intrinsic ampicillin resistance of </w:t>
      </w:r>
      <w:r>
        <w:rPr>
          <w:rStyle w:val="11"/>
          <w:lang w:val="en-US"/>
        </w:rPr>
        <w:t>K. pneumoniae</w:t>
      </w:r>
      <w:r>
        <w:rPr>
          <w:lang w:val="en-US"/>
        </w:rPr>
        <w:t xml:space="preserve"> and </w:t>
      </w:r>
      <w:r>
        <w:rPr>
          <w:rStyle w:val="11"/>
          <w:lang w:val="en-US"/>
        </w:rPr>
        <w:t>E. faecium</w:t>
      </w:r>
      <w:r>
        <w:rPr>
          <w:lang w:val="en-US"/>
        </w:rPr>
        <w:t xml:space="preserve"> — a pattern the model recovered without any local data, supporting its face validity. Among the remaining classes, cephalosporins were highest for </w:t>
      </w:r>
      <w:r>
        <w:rPr>
          <w:rStyle w:val="11"/>
          <w:lang w:val="en-US"/>
        </w:rPr>
        <w:t>A. baumannii</w:t>
      </w:r>
      <w:r>
        <w:rPr>
          <w:lang w:val="en-US"/>
        </w:rPr>
        <w:t xml:space="preserve"> and </w:t>
      </w:r>
      <w:r>
        <w:rPr>
          <w:rStyle w:val="11"/>
          <w:lang w:val="en-US"/>
        </w:rPr>
        <w:t>K. pneumoniae</w:t>
      </w:r>
      <w:r>
        <w:rPr>
          <w:lang w:val="en-US"/>
        </w:rPr>
        <w:t xml:space="preserve">, and fluoroquinolones for </w:t>
      </w:r>
      <w:r>
        <w:rPr>
          <w:rStyle w:val="11"/>
          <w:lang w:val="en-US"/>
        </w:rPr>
        <w:t>E. faecium</w:t>
      </w:r>
      <w:r>
        <w:rPr>
          <w:lang w:val="en-US"/>
        </w:rPr>
        <w:t xml:space="preserve">. With four combinations of </w:t>
      </w:r>
      <w:r>
        <w:rPr>
          <w:rStyle w:val="11"/>
          <w:lang w:val="en-US"/>
        </w:rPr>
        <w:t>A. baumannii</w:t>
      </w:r>
      <w:r>
        <w:rPr>
          <w:lang w:val="en-US"/>
        </w:rPr>
        <w:t xml:space="preserve"> from a single cohort (Karaganda; Table </w:t>
      </w:r>
      <w:r>
        <w:rPr>
          <w:rFonts w:hint="default"/>
          <w:lang w:val="en-US"/>
        </w:rPr>
        <w:t>6</w:t>
      </w:r>
      <w:r>
        <w:rPr>
          <w:lang w:val="en-US"/>
        </w:rPr>
        <w:t xml:space="preserve">), absolute probabilities range from 15 to 26 percentage points off, allowing the model to confidently identify </w:t>
      </w:r>
      <w:r>
        <w:rPr>
          <w:rStyle w:val="11"/>
          <w:lang w:val="en-US"/>
        </w:rPr>
        <w:t>A. baumannii</w:t>
      </w:r>
      <w:r>
        <w:rPr>
          <w:lang w:val="en-US"/>
        </w:rPr>
        <w:t xml:space="preserve"> as high-risk (all predicted &gt;70%), yet demonstrating the difference in absolute probabilities in a higher-acuity subpopulation of hospitalized patients. </w:t>
      </w:r>
      <w:r>
        <w:rPr>
          <w:rStyle w:val="26"/>
          <w:lang w:val="en-US"/>
        </w:rPr>
        <w:t>The comparison is suggestive, which is not the same as confirmation.</w:t>
      </w:r>
    </w:p>
    <w:tbl>
      <w:tblPr>
        <w:tblStyle w:val="16"/>
        <w:tblW w:w="94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4"/>
        <w:gridCol w:w="1458"/>
        <w:gridCol w:w="900"/>
        <w:gridCol w:w="852"/>
        <w:gridCol w:w="787"/>
        <w:gridCol w:w="1200"/>
        <w:gridCol w:w="1607"/>
        <w:gridCol w:w="1404"/>
      </w:tblGrid>
      <w:tr w14:paraId="4918606C">
        <w:tblPrEx>
          <w:tblCellMar>
            <w:top w:w="0" w:type="dxa"/>
            <w:left w:w="108" w:type="dxa"/>
            <w:bottom w:w="0" w:type="dxa"/>
            <w:right w:w="108" w:type="dxa"/>
          </w:tblCellMar>
        </w:tblPrEx>
        <w:tc>
          <w:tcPr>
            <w:tcW w:w="1284" w:type="dxa"/>
          </w:tcPr>
          <w:p w14:paraId="658135CA">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Organism</w:t>
            </w:r>
          </w:p>
        </w:tc>
        <w:tc>
          <w:tcPr>
            <w:tcW w:w="1458" w:type="dxa"/>
          </w:tcPr>
          <w:p w14:paraId="64F6898F">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Antibiotic</w:t>
            </w:r>
          </w:p>
        </w:tc>
        <w:tc>
          <w:tcPr>
            <w:tcW w:w="900" w:type="dxa"/>
          </w:tcPr>
          <w:p w14:paraId="41158FDF">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Observed_%</w:t>
            </w:r>
          </w:p>
        </w:tc>
        <w:tc>
          <w:tcPr>
            <w:tcW w:w="852" w:type="dxa"/>
          </w:tcPr>
          <w:p w14:paraId="445CAA0F">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Predicted_%</w:t>
            </w:r>
          </w:p>
        </w:tc>
        <w:tc>
          <w:tcPr>
            <w:tcW w:w="787" w:type="dxa"/>
          </w:tcPr>
          <w:p w14:paraId="388EAFF4">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Difference</w:t>
            </w:r>
          </w:p>
        </w:tc>
        <w:tc>
          <w:tcPr>
            <w:tcW w:w="1200" w:type="dxa"/>
          </w:tcPr>
          <w:p w14:paraId="4DE5D6C6">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Direction</w:t>
            </w:r>
          </w:p>
        </w:tc>
        <w:tc>
          <w:tcPr>
            <w:tcW w:w="1607" w:type="dxa"/>
          </w:tcPr>
          <w:p w14:paraId="0C00D502">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Year_range</w:t>
            </w:r>
          </w:p>
        </w:tc>
        <w:tc>
          <w:tcPr>
            <w:tcW w:w="1404" w:type="dxa"/>
          </w:tcPr>
          <w:p w14:paraId="278AD467">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Setting</w:t>
            </w:r>
          </w:p>
        </w:tc>
      </w:tr>
      <w:tr w14:paraId="5A06C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48C05066">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A. baumannii</w:t>
            </w:r>
          </w:p>
        </w:tc>
        <w:tc>
          <w:tcPr>
            <w:tcW w:w="1458" w:type="dxa"/>
          </w:tcPr>
          <w:p w14:paraId="5FE50510">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Gentamicin</w:t>
            </w:r>
          </w:p>
        </w:tc>
        <w:tc>
          <w:tcPr>
            <w:tcW w:w="900" w:type="dxa"/>
          </w:tcPr>
          <w:p w14:paraId="492D9148">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88.89</w:t>
            </w:r>
          </w:p>
        </w:tc>
        <w:tc>
          <w:tcPr>
            <w:tcW w:w="852" w:type="dxa"/>
          </w:tcPr>
          <w:p w14:paraId="27669EC8">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70.4</w:t>
            </w:r>
          </w:p>
        </w:tc>
        <w:tc>
          <w:tcPr>
            <w:tcW w:w="787" w:type="dxa"/>
          </w:tcPr>
          <w:p w14:paraId="05EFEADE">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-18.5</w:t>
            </w:r>
          </w:p>
        </w:tc>
        <w:tc>
          <w:tcPr>
            <w:tcW w:w="1200" w:type="dxa"/>
          </w:tcPr>
          <w:p w14:paraId="6490CA6D">
            <w:pPr>
              <w:widowControl w:val="0"/>
              <w:shd w:val="clear" w:color="auto" w:fill="FFFFFF"/>
              <w:spacing w:before="240" w:after="24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highlight w:val="white"/>
                <w:lang w:val="en-US"/>
              </w:rPr>
              <w:t>&lt;25%</w:t>
            </w:r>
          </w:p>
        </w:tc>
        <w:tc>
          <w:tcPr>
            <w:tcW w:w="1607" w:type="dxa"/>
          </w:tcPr>
          <w:p w14:paraId="66246B61">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2022–2023</w:t>
            </w:r>
          </w:p>
        </w:tc>
        <w:tc>
          <w:tcPr>
            <w:tcW w:w="1404" w:type="dxa"/>
          </w:tcPr>
          <w:p w14:paraId="20EE2A00">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Pneumonia inpatient</w:t>
            </w:r>
          </w:p>
        </w:tc>
      </w:tr>
      <w:tr w14:paraId="5C27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5C63B2F4">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A. baumannii</w:t>
            </w:r>
          </w:p>
        </w:tc>
        <w:tc>
          <w:tcPr>
            <w:tcW w:w="1458" w:type="dxa"/>
          </w:tcPr>
          <w:p w14:paraId="129A070E">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Ceftriaxone</w:t>
            </w:r>
          </w:p>
        </w:tc>
        <w:tc>
          <w:tcPr>
            <w:tcW w:w="900" w:type="dxa"/>
          </w:tcPr>
          <w:p w14:paraId="5452015A">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65.38</w:t>
            </w:r>
          </w:p>
        </w:tc>
        <w:tc>
          <w:tcPr>
            <w:tcW w:w="852" w:type="dxa"/>
          </w:tcPr>
          <w:p w14:paraId="2FD64D97">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84.1</w:t>
            </w:r>
          </w:p>
        </w:tc>
        <w:tc>
          <w:tcPr>
            <w:tcW w:w="787" w:type="dxa"/>
          </w:tcPr>
          <w:p w14:paraId="390F5A91">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18.7</w:t>
            </w:r>
          </w:p>
        </w:tc>
        <w:tc>
          <w:tcPr>
            <w:tcW w:w="1200" w:type="dxa"/>
          </w:tcPr>
          <w:p w14:paraId="4922CF49">
            <w:pPr>
              <w:widowControl w:val="0"/>
              <w:shd w:val="clear" w:color="auto" w:fill="FFFFFF"/>
              <w:spacing w:before="240" w:after="24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highlight w:val="white"/>
                <w:lang w:val="en-US"/>
              </w:rPr>
              <w:t>&lt;25%</w:t>
            </w:r>
          </w:p>
        </w:tc>
        <w:tc>
          <w:tcPr>
            <w:tcW w:w="1607" w:type="dxa"/>
          </w:tcPr>
          <w:p w14:paraId="3CBB44CD">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2022–2023</w:t>
            </w:r>
          </w:p>
        </w:tc>
        <w:tc>
          <w:tcPr>
            <w:tcW w:w="1404" w:type="dxa"/>
          </w:tcPr>
          <w:p w14:paraId="14C40CC7">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Pneumonia inpatient</w:t>
            </w:r>
          </w:p>
        </w:tc>
      </w:tr>
      <w:tr w14:paraId="51B4A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75C5576B">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A. baumannii</w:t>
            </w:r>
          </w:p>
        </w:tc>
        <w:tc>
          <w:tcPr>
            <w:tcW w:w="1458" w:type="dxa"/>
          </w:tcPr>
          <w:p w14:paraId="7368A3FD">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Ciprofloxacin</w:t>
            </w:r>
          </w:p>
        </w:tc>
        <w:tc>
          <w:tcPr>
            <w:tcW w:w="900" w:type="dxa"/>
          </w:tcPr>
          <w:p w14:paraId="5B50FAFD">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65.38</w:t>
            </w:r>
          </w:p>
        </w:tc>
        <w:tc>
          <w:tcPr>
            <w:tcW w:w="852" w:type="dxa"/>
          </w:tcPr>
          <w:p w14:paraId="0A5CCBA7">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80.6</w:t>
            </w:r>
          </w:p>
        </w:tc>
        <w:tc>
          <w:tcPr>
            <w:tcW w:w="787" w:type="dxa"/>
          </w:tcPr>
          <w:p w14:paraId="0117A163">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15.2</w:t>
            </w:r>
          </w:p>
        </w:tc>
        <w:tc>
          <w:tcPr>
            <w:tcW w:w="1200" w:type="dxa"/>
          </w:tcPr>
          <w:p w14:paraId="28BD2AA6">
            <w:pPr>
              <w:widowControl w:val="0"/>
              <w:shd w:val="clear" w:color="auto" w:fill="FFFFFF"/>
              <w:spacing w:before="240" w:after="24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highlight w:val="white"/>
                <w:lang w:val="en-US"/>
              </w:rPr>
              <w:t>&lt;25%</w:t>
            </w:r>
          </w:p>
        </w:tc>
        <w:tc>
          <w:tcPr>
            <w:tcW w:w="1607" w:type="dxa"/>
          </w:tcPr>
          <w:p w14:paraId="1AC84918">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2022–2023</w:t>
            </w:r>
          </w:p>
        </w:tc>
        <w:tc>
          <w:tcPr>
            <w:tcW w:w="1404" w:type="dxa"/>
          </w:tcPr>
          <w:p w14:paraId="1AF1E65B">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Pneumonia inpatient</w:t>
            </w:r>
          </w:p>
        </w:tc>
      </w:tr>
      <w:tr w14:paraId="1D985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0E8410DA">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A. baumannii</w:t>
            </w:r>
          </w:p>
        </w:tc>
        <w:tc>
          <w:tcPr>
            <w:tcW w:w="1458" w:type="dxa"/>
          </w:tcPr>
          <w:p w14:paraId="53B1CCFD">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Fluoroquinolones (class)</w:t>
            </w:r>
          </w:p>
        </w:tc>
        <w:tc>
          <w:tcPr>
            <w:tcW w:w="900" w:type="dxa"/>
          </w:tcPr>
          <w:p w14:paraId="7A79633A">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100.0</w:t>
            </w:r>
          </w:p>
        </w:tc>
        <w:tc>
          <w:tcPr>
            <w:tcW w:w="852" w:type="dxa"/>
          </w:tcPr>
          <w:p w14:paraId="61862ADA">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74.2</w:t>
            </w:r>
          </w:p>
        </w:tc>
        <w:tc>
          <w:tcPr>
            <w:tcW w:w="787" w:type="dxa"/>
          </w:tcPr>
          <w:p w14:paraId="01AD0E6B">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-25.8</w:t>
            </w:r>
          </w:p>
        </w:tc>
        <w:tc>
          <w:tcPr>
            <w:tcW w:w="1200" w:type="dxa"/>
          </w:tcPr>
          <w:p w14:paraId="47EE726C">
            <w:pPr>
              <w:widowControl w:val="0"/>
              <w:shd w:val="clear" w:color="auto" w:fill="FFFFFF"/>
              <w:spacing w:before="240" w:after="24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highlight w:val="white"/>
                <w:lang w:val="en-US"/>
              </w:rPr>
              <w:t>&gt;25%</w:t>
            </w:r>
          </w:p>
        </w:tc>
        <w:tc>
          <w:tcPr>
            <w:tcW w:w="1607" w:type="dxa"/>
          </w:tcPr>
          <w:p w14:paraId="5F0A7751">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2022–2023</w:t>
            </w:r>
          </w:p>
        </w:tc>
        <w:tc>
          <w:tcPr>
            <w:tcW w:w="1404" w:type="dxa"/>
          </w:tcPr>
          <w:p w14:paraId="650BA610">
            <w:pPr>
              <w:widowControl w:val="0"/>
              <w:shd w:val="clear" w:color="auto" w:fill="FFFFFF"/>
              <w:spacing w:before="240" w:after="240" w:line="240" w:lineRule="auto"/>
              <w:jc w:val="both"/>
              <w:rPr>
                <w:rFonts w:ascii="Times New Roman" w:hAnsi="Times New Roman" w:cs="Times New Roman"/>
                <w:sz w:val="24"/>
                <w:szCs w:val="24"/>
              </w:rPr>
            </w:pPr>
            <w:r>
              <w:rPr>
                <w:rFonts w:ascii="Times New Roman" w:hAnsi="Times New Roman" w:eastAsia="Times New Roman" w:cs="Times New Roman"/>
                <w:sz w:val="24"/>
                <w:szCs w:val="24"/>
                <w:highlight w:val="white"/>
              </w:rPr>
              <w:t>Pneumonia inpatient</w:t>
            </w:r>
          </w:p>
        </w:tc>
      </w:tr>
    </w:tbl>
    <w:p w14:paraId="1FEB37E0">
      <w:pPr>
        <w:shd w:val="clear" w:color="auto" w:fill="FFFFFF"/>
        <w:spacing w:before="240" w:after="240" w:line="240" w:lineRule="auto"/>
        <w:rPr>
          <w:rFonts w:ascii="Times New Roman" w:hAnsi="Times New Roman" w:eastAsia="Times New Roman" w:cs="Times New Roman"/>
          <w:i/>
          <w:iCs/>
          <w:sz w:val="24"/>
          <w:szCs w:val="24"/>
          <w:highlight w:val="white"/>
        </w:rPr>
      </w:pPr>
    </w:p>
    <w:p w14:paraId="1F2EC199">
      <w:pPr>
        <w:shd w:val="clear" w:color="auto" w:fill="FFFFFF"/>
        <w:spacing w:before="240" w:after="240" w:line="240" w:lineRule="auto"/>
        <w:rPr>
          <w:rFonts w:ascii="Times New Roman" w:hAnsi="Times New Roman" w:eastAsia="Times New Roman" w:cs="Times New Roman"/>
          <w:i/>
          <w:iCs/>
          <w:sz w:val="24"/>
          <w:szCs w:val="24"/>
          <w:highlight w:val="white"/>
          <w:lang w:val="en-US"/>
        </w:rPr>
      </w:pPr>
      <w:r>
        <w:rPr>
          <w:rFonts w:ascii="Times New Roman" w:hAnsi="Times New Roman" w:eastAsia="Times New Roman" w:cs="Times New Roman"/>
          <w:i/>
          <w:iCs/>
          <w:sz w:val="24"/>
          <w:szCs w:val="24"/>
          <w:highlight w:val="white"/>
        </w:rPr>
        <w:t xml:space="preserve">Table </w:t>
      </w:r>
      <w:r>
        <w:rPr>
          <w:rFonts w:hint="default" w:ascii="Times New Roman" w:hAnsi="Times New Roman" w:eastAsia="Times New Roman" w:cs="Times New Roman"/>
          <w:i/>
          <w:iCs/>
          <w:sz w:val="24"/>
          <w:szCs w:val="24"/>
          <w:highlight w:val="white"/>
          <w:lang w:val="en-US"/>
        </w:rPr>
        <w:t>6</w:t>
      </w:r>
      <w:r>
        <w:rPr>
          <w:rFonts w:ascii="Times New Roman" w:hAnsi="Times New Roman" w:eastAsia="Times New Roman" w:cs="Times New Roman"/>
          <w:i/>
          <w:iCs/>
          <w:sz w:val="24"/>
          <w:szCs w:val="24"/>
          <w:highlight w:val="white"/>
        </w:rPr>
        <w:t>: Face validity comparison of predicted versus observed A. baumannii resistance rates from Strochkov et al. ((V. Strochkov, V. Beloussov, S. Orkara, A. Lavrinenko, M. Solomadin, S. Yegorov, N. Sandybayev. Genomic characterization of multidrug-resistant Acinetobacter baumannii in pneumonia patients in Kazakhstan. Diagnostics. Vol. 15, Article 704, 2025, https://doi.org/10.3390/diagnostics15060704.)).</w:t>
      </w:r>
      <w:r>
        <w:rPr>
          <w:rFonts w:ascii="Times New Roman" w:hAnsi="Times New Roman" w:eastAsia="Times New Roman" w:cs="Times New Roman"/>
          <w:i/>
          <w:iCs/>
          <w:sz w:val="24"/>
          <w:szCs w:val="24"/>
          <w:highlight w:val="white"/>
          <w:lang w:val="en-US"/>
        </w:rPr>
        <w:t xml:space="preserve"> In Karaganda. </w:t>
      </w:r>
    </w:p>
    <w:p w14:paraId="25F05373">
      <w:pPr>
        <w:shd w:val="clear" w:color="auto" w:fill="FFFFFF"/>
        <w:spacing w:before="240" w:after="240" w:line="240" w:lineRule="auto"/>
        <w:rPr>
          <w:rFonts w:ascii="Times New Roman" w:hAnsi="Times New Roman" w:eastAsia="Times New Roman" w:cs="Times New Roman"/>
          <w:b/>
          <w:sz w:val="24"/>
          <w:szCs w:val="24"/>
          <w:highlight w:val="white"/>
        </w:rPr>
      </w:pPr>
      <w:bookmarkStart w:id="0" w:name="_cay9blk0svag" w:colFirst="0" w:colLast="0"/>
      <w:bookmarkEnd w:id="0"/>
      <w:r>
        <w:rPr>
          <w:rFonts w:ascii="Times New Roman" w:hAnsi="Times New Roman" w:eastAsia="Times New Roman" w:cs="Times New Roman"/>
          <w:b/>
          <w:sz w:val="24"/>
          <w:szCs w:val="24"/>
          <w:highlight w:val="white"/>
        </w:rPr>
        <w:t>4.6 Limitations</w:t>
      </w:r>
    </w:p>
    <w:p w14:paraId="1325694E">
      <w:pPr>
        <w:shd w:val="clear" w:color="auto" w:fill="FFFFFF"/>
        <w:spacing w:before="240" w:after="24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The chief limitation is that the model was not trained or tested using isolate-level information from Kazakhstan, and the results reported for the country are preliminary and will need to be tested using future data. Some partial resistance was not represented, as the partially resistant isolates were not included and some antimicrobial medicines with wider usage in the area were not represented. The data in this section are mostly drawn from high-income groups, and so absolute probabilities should be treated with caution rather than as validated accuracy; the confidence intervals in Table 6 are based on prediction consistency rather than on an absolute measure of the accuracy of the predictions. The upward temporal trend predictions, ranked as hypothesis-generating signals, are based on a limited number of annual observations (7 per organism) and were significant only under Benjamini–Hochberg correction (pBH = 0.049) but not Bonferroni correction. Finally, hyperparameter tuning was performed on the entire dataset rather than on each fold, which may overestimate LOCO-AUC, but no single country exceeds 5% of the data in any fold ((D. R. Roberts, V. Bahn, S. Ciuti, M. S. Boyce, J. Elith, G. Guillera-Arroita, S. Hauenstein, J. J. Lahoz-Monfort, B. Schröder, W. Thuiller, D. I. Warton, B. A. Wintle, F. Hartig, C. F. Dormann. Cross-validation strategies for data with temporal, spatial, hierarchical, or phylogenetic structure. Ecography. Vol. 40, pg. 913–929, 2017, https://doi.org/10.1111/ecog.02881.)).</w:t>
      </w:r>
    </w:p>
    <w:p w14:paraId="438A0BCA">
      <w:pPr>
        <w:shd w:val="clear" w:color="auto" w:fill="FFFFFF"/>
        <w:spacing w:before="240" w:after="240" w:line="240" w:lineRule="auto"/>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4.7 Future Directions</w:t>
      </w:r>
    </w:p>
    <w:p w14:paraId="5ED88107">
      <w:pPr>
        <w:shd w:val="clear" w:color="auto" w:fill="FFFFFF"/>
        <w:spacing w:before="240" w:after="24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An immediate validation (100–200 local isolates of high-risk species (</w:t>
      </w:r>
      <w:r>
        <w:rPr>
          <w:rFonts w:ascii="Times New Roman" w:hAnsi="Times New Roman" w:eastAsia="Times New Roman" w:cs="Times New Roman"/>
          <w:i/>
          <w:iCs/>
          <w:sz w:val="24"/>
          <w:szCs w:val="24"/>
          <w:highlight w:val="white"/>
        </w:rPr>
        <w:t>A. baumannii</w:t>
      </w:r>
      <w:r>
        <w:rPr>
          <w:rFonts w:ascii="Times New Roman" w:hAnsi="Times New Roman" w:eastAsia="Times New Roman" w:cs="Times New Roman"/>
          <w:sz w:val="24"/>
          <w:szCs w:val="24"/>
          <w:highlight w:val="white"/>
        </w:rPr>
        <w:t>, </w:t>
      </w:r>
      <w:r>
        <w:rPr>
          <w:rFonts w:ascii="Times New Roman" w:hAnsi="Times New Roman" w:eastAsia="Times New Roman" w:cs="Times New Roman"/>
          <w:i/>
          <w:iCs/>
          <w:sz w:val="24"/>
          <w:szCs w:val="24"/>
          <w:highlight w:val="white"/>
        </w:rPr>
        <w:t>K. pneumoniae</w:t>
      </w:r>
      <w:r>
        <w:rPr>
          <w:rFonts w:ascii="Times New Roman" w:hAnsi="Times New Roman" w:eastAsia="Times New Roman" w:cs="Times New Roman"/>
          <w:sz w:val="24"/>
          <w:szCs w:val="24"/>
          <w:highlight w:val="white"/>
        </w:rPr>
        <w:t>, and </w:t>
      </w:r>
      <w:r>
        <w:rPr>
          <w:rFonts w:ascii="Times New Roman" w:hAnsi="Times New Roman" w:eastAsia="Times New Roman" w:cs="Times New Roman"/>
          <w:i/>
          <w:iCs/>
          <w:sz w:val="24"/>
          <w:szCs w:val="24"/>
          <w:highlight w:val="white"/>
        </w:rPr>
        <w:t>E. faecium</w:t>
      </w:r>
      <w:r>
        <w:rPr>
          <w:rFonts w:ascii="Times New Roman" w:hAnsi="Times New Roman" w:eastAsia="Times New Roman" w:cs="Times New Roman"/>
          <w:sz w:val="24"/>
          <w:szCs w:val="24"/>
          <w:highlight w:val="white"/>
        </w:rPr>
        <w:t>)) will be performed to compare with model estimates, undertaken with a narrow band of ±10 per cent compared with the wider band of ±25 per cent used for the retrospective validation. The framework can be extended, not only to additional sectors that have good national statistical coverage such as much of Central Asia, sub-Saharan Africa, and Southeast Asia, but also to other areas more broadly.</w:t>
      </w:r>
    </w:p>
    <w:p w14:paraId="559DB11D">
      <w:pPr>
        <w:shd w:val="clear" w:color="auto" w:fill="FFFFFF"/>
        <w:spacing w:before="240" w:after="240" w:line="240" w:lineRule="auto"/>
        <w:rPr>
          <w:rFonts w:ascii="Times New Roman" w:hAnsi="Times New Roman" w:eastAsia="Times New Roman" w:cs="Times New Roman"/>
          <w:b/>
          <w:bCs/>
          <w:sz w:val="24"/>
          <w:szCs w:val="24"/>
          <w:highlight w:val="white"/>
        </w:rPr>
      </w:pPr>
      <w:r>
        <w:rPr>
          <w:rFonts w:ascii="Times New Roman" w:hAnsi="Times New Roman" w:eastAsia="Times New Roman" w:cs="Times New Roman"/>
          <w:b/>
          <w:bCs/>
          <w:sz w:val="24"/>
          <w:szCs w:val="24"/>
          <w:highlight w:val="white"/>
        </w:rPr>
        <w:t>Conclusion</w:t>
      </w:r>
    </w:p>
    <w:p w14:paraId="723AC343">
      <w:pPr>
        <w:shd w:val="clear" w:color="auto" w:fill="FFFFFF"/>
        <w:spacing w:before="240" w:after="28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Following a cross-country methodology based on non-genetic information, we estimated the probability of antimicrobial resistance (AMR) in Kazakhstan, where we lacked direct information from local isolates, relying only on probabilities derived from global data on AM resistance, antibiotic use, and macro-economics. The CatBoost model performed best, with 11.3 million susceptibility results from 1.08 million isolates from 85 countries in the study, achieving an AUC of 0.849, an AUPRC of 0.650, and a recall of 0.797, identifying </w:t>
      </w:r>
      <w:r>
        <w:rPr>
          <w:rFonts w:ascii="Times New Roman" w:hAnsi="Times New Roman" w:eastAsia="Times New Roman" w:cs="Times New Roman"/>
          <w:i/>
          <w:iCs/>
          <w:sz w:val="24"/>
          <w:szCs w:val="24"/>
          <w:highlight w:val="white"/>
        </w:rPr>
        <w:t>A. baumannii</w:t>
      </w:r>
      <w:r>
        <w:rPr>
          <w:rFonts w:ascii="Times New Roman" w:hAnsi="Times New Roman" w:eastAsia="Times New Roman" w:cs="Times New Roman"/>
          <w:sz w:val="24"/>
          <w:szCs w:val="24"/>
          <w:highlight w:val="white"/>
        </w:rPr>
        <w:t>, </w:t>
      </w:r>
      <w:r>
        <w:rPr>
          <w:rFonts w:ascii="Times New Roman" w:hAnsi="Times New Roman" w:eastAsia="Times New Roman" w:cs="Times New Roman"/>
          <w:i/>
          <w:iCs/>
          <w:sz w:val="24"/>
          <w:szCs w:val="24"/>
          <w:highlight w:val="white"/>
        </w:rPr>
        <w:t>K. pneumoniae</w:t>
      </w:r>
      <w:r>
        <w:rPr>
          <w:rFonts w:ascii="Times New Roman" w:hAnsi="Times New Roman" w:eastAsia="Times New Roman" w:cs="Times New Roman"/>
          <w:sz w:val="24"/>
          <w:szCs w:val="24"/>
          <w:highlight w:val="white"/>
        </w:rPr>
        <w:t>, and </w:t>
      </w:r>
      <w:r>
        <w:rPr>
          <w:rFonts w:ascii="Times New Roman" w:hAnsi="Times New Roman" w:eastAsia="Times New Roman" w:cs="Times New Roman"/>
          <w:i/>
          <w:iCs/>
          <w:sz w:val="24"/>
          <w:szCs w:val="24"/>
          <w:highlight w:val="white"/>
        </w:rPr>
        <w:t>E. faecium</w:t>
      </w:r>
      <w:r>
        <w:rPr>
          <w:rFonts w:ascii="Times New Roman" w:hAnsi="Times New Roman" w:eastAsia="Times New Roman" w:cs="Times New Roman"/>
          <w:sz w:val="24"/>
          <w:szCs w:val="24"/>
          <w:highlight w:val="white"/>
        </w:rPr>
        <w:t> as the top-risk pathogens in Kazakhstan. The framework does not replace laboratory surveillance but is a hypothesis-generating screening tool that prioritises which combinations to validate first. If surveillance is lacking, prediction need not be: global information can serve as a provisional map of resistance risk to determine where to collect the first local samples.</w:t>
      </w:r>
    </w:p>
    <w:p w14:paraId="2FB73129">
      <w:pPr>
        <w:spacing w:before="240" w:after="240" w:line="240" w:lineRule="auto"/>
        <w:rPr>
          <w:rFonts w:ascii="Times New Roman" w:hAnsi="Times New Roman" w:eastAsia="Times New Roman" w:cs="Times New Roman"/>
          <w:bCs/>
          <w:sz w:val="24"/>
          <w:szCs w:val="24"/>
          <w:highlight w:val="white"/>
        </w:rPr>
      </w:pPr>
      <w:r>
        <w:rPr>
          <w:rFonts w:ascii="Times New Roman" w:hAnsi="Times New Roman" w:eastAsia="Times New Roman" w:cs="Times New Roman"/>
          <w:b/>
          <w:bCs w:val="0"/>
          <w:sz w:val="24"/>
          <w:szCs w:val="24"/>
          <w:highlight w:val="white"/>
        </w:rPr>
        <w:t>Acknowledgements</w:t>
      </w:r>
      <w:r>
        <w:rPr>
          <w:rFonts w:ascii="Times New Roman" w:hAnsi="Times New Roman" w:eastAsia="Times New Roman" w:cs="Times New Roman"/>
          <w:bCs/>
          <w:sz w:val="24"/>
          <w:szCs w:val="24"/>
          <w:highlight w:val="white"/>
        </w:rPr>
        <w:t xml:space="preserve"> </w:t>
      </w:r>
    </w:p>
    <w:p w14:paraId="23BADF4B">
      <w:pPr>
        <w:spacing w:before="240" w:after="240" w:line="240" w:lineRule="auto"/>
        <w:rPr>
          <w:rFonts w:ascii="Times New Roman" w:hAnsi="Times New Roman" w:eastAsia="Times New Roman" w:cs="Times New Roman"/>
          <w:sz w:val="24"/>
          <w:szCs w:val="24"/>
          <w:highlight w:val="white"/>
          <w:lang w:val="ru-RU"/>
        </w:rPr>
      </w:pPr>
    </w:p>
    <w:p w14:paraId="1000E577">
      <w:pPr>
        <w:pStyle w:val="4"/>
        <w:keepNext w:val="0"/>
        <w:keepLines w:val="0"/>
        <w:spacing w:line="240" w:lineRule="auto"/>
        <w:rPr>
          <w:rFonts w:hint="default" w:ascii="Times New Roman" w:hAnsi="Times New Roman" w:cs="Times New Roman"/>
          <w:b/>
          <w:bCs w:val="0"/>
          <w:sz w:val="24"/>
          <w:szCs w:val="24"/>
          <w:lang w:val="en-US"/>
        </w:rPr>
      </w:pPr>
      <w:r>
        <w:rPr>
          <w:rFonts w:ascii="Times New Roman" w:hAnsi="Times New Roman" w:cs="Times New Roman"/>
          <w:b/>
          <w:bCs w:val="0"/>
          <w:sz w:val="24"/>
          <w:szCs w:val="24"/>
          <w:lang w:val="en-US"/>
        </w:rPr>
        <w:t>R</w:t>
      </w:r>
      <w:r>
        <w:rPr>
          <w:rFonts w:ascii="Times New Roman" w:hAnsi="Times New Roman" w:cs="Times New Roman"/>
          <w:b/>
          <w:bCs w:val="0"/>
          <w:sz w:val="24"/>
          <w:szCs w:val="24"/>
        </w:rPr>
        <w:t>eference</w:t>
      </w:r>
      <w:r>
        <w:rPr>
          <w:rFonts w:hint="default" w:ascii="Times New Roman" w:hAnsi="Times New Roman" w:cs="Times New Roman"/>
          <w:b/>
          <w:bCs w:val="0"/>
          <w:sz w:val="24"/>
          <w:szCs w:val="24"/>
          <w:lang w:val="en-US"/>
        </w:rPr>
        <w:t xml:space="preserve">s </w:t>
      </w:r>
    </w:p>
    <w:p w14:paraId="6C2839F1">
      <w:pPr>
        <w:pStyle w:val="13"/>
        <w:numPr>
          <w:ilvl w:val="0"/>
          <w:numId w:val="1"/>
        </w:numPr>
      </w:pPr>
      <w:r>
        <w:rPr>
          <w:rStyle w:val="26"/>
          <w:lang w:val="en-US"/>
        </w:rPr>
        <w:t>M. Naghavi, S. E. Vollset, K. S. Ikuta, et al.</w:t>
      </w:r>
      <w:r>
        <w:rPr>
          <w:lang w:val="en-US"/>
        </w:rPr>
        <w:t xml:space="preserve"> </w:t>
      </w:r>
      <w:r>
        <w:rPr>
          <w:rStyle w:val="26"/>
          <w:lang w:val="en-US"/>
        </w:rPr>
        <w:t>[GBD 2021 Antimicrobial Resistance Collaborators].</w:t>
      </w:r>
      <w:r>
        <w:rPr>
          <w:lang w:val="en-US"/>
        </w:rPr>
        <w:t xml:space="preserve"> </w:t>
      </w:r>
      <w:r>
        <w:rPr>
          <w:rStyle w:val="26"/>
          <w:lang w:val="en-US"/>
        </w:rPr>
        <w:t>Global burden of bacterial antimicrobial resistance 1990–2021: a systematic analysis with forecasts to 2050.</w:t>
      </w:r>
      <w:r>
        <w:rPr>
          <w:lang w:val="en-US"/>
        </w:rPr>
        <w:t xml:space="preserve"> </w:t>
      </w:r>
      <w:r>
        <w:rPr>
          <w:rStyle w:val="26"/>
        </w:rPr>
        <w:t>The Lancet.</w:t>
      </w:r>
      <w:r>
        <w:t xml:space="preserve"> </w:t>
      </w:r>
      <w:r>
        <w:rPr>
          <w:rStyle w:val="26"/>
        </w:rPr>
        <w:t>Vol.</w:t>
      </w:r>
      <w:r>
        <w:t xml:space="preserve"> </w:t>
      </w:r>
      <w:r>
        <w:rPr>
          <w:rStyle w:val="26"/>
        </w:rPr>
        <w:t>404, pg.</w:t>
      </w:r>
      <w:r>
        <w:t xml:space="preserve"> </w:t>
      </w:r>
      <w:r>
        <w:rPr>
          <w:rStyle w:val="26"/>
        </w:rPr>
        <w:t xml:space="preserve">1199–1226, 2024, </w:t>
      </w:r>
      <w:r>
        <w:fldChar w:fldCharType="begin"/>
      </w:r>
      <w:r>
        <w:instrText xml:space="preserve"> HYPERLINK "https://doi.org/10.1016/S0140-6736(24)01867-1" \t "_blank" </w:instrText>
      </w:r>
      <w:r>
        <w:fldChar w:fldCharType="separate"/>
      </w:r>
      <w:r>
        <w:rPr>
          <w:rStyle w:val="26"/>
          <w:color w:val="0000FF"/>
          <w:u w:val="single"/>
        </w:rPr>
        <w:t>https://doi.org/10.1016/S0140-6736(24)01867-1</w:t>
      </w:r>
      <w:r>
        <w:rPr>
          <w:rStyle w:val="26"/>
          <w:color w:val="0000FF"/>
          <w:u w:val="single"/>
        </w:rPr>
        <w:fldChar w:fldCharType="end"/>
      </w:r>
      <w:r>
        <w:rPr>
          <w:rStyle w:val="26"/>
        </w:rPr>
        <w:t>.</w:t>
      </w:r>
    </w:p>
    <w:p w14:paraId="0F5833F5">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J. O'Neill. Tackling drug-resistant infections globally: final report and recommendations. The Review on Antimicrobial Resistance, 2016, </w:t>
      </w:r>
      <w:r>
        <w:fldChar w:fldCharType="begin"/>
      </w:r>
      <w:r>
        <w:instrText xml:space="preserve"> HYPERLINK "https://amr-review.org/" </w:instrText>
      </w:r>
      <w:r>
        <w:fldChar w:fldCharType="separate"/>
      </w:r>
      <w:r>
        <w:rPr>
          <w:rStyle w:val="12"/>
          <w:rFonts w:ascii="Times New Roman" w:hAnsi="Times New Roman" w:cs="Times New Roman"/>
          <w:sz w:val="24"/>
          <w:szCs w:val="24"/>
        </w:rPr>
        <w:t>https://amr-review.org/</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2B81607D">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World Bank. Drug-resistant infections: a threat to our economic future. World Bank, Washington, DC, 2017, </w:t>
      </w:r>
      <w:r>
        <w:fldChar w:fldCharType="begin"/>
      </w:r>
      <w:r>
        <w:instrText xml:space="preserve"> HYPERLINK "http://hdl.handle.net/10986/26707" </w:instrText>
      </w:r>
      <w:r>
        <w:fldChar w:fldCharType="separate"/>
      </w:r>
      <w:r>
        <w:rPr>
          <w:rStyle w:val="12"/>
          <w:rFonts w:ascii="Times New Roman" w:hAnsi="Times New Roman" w:cs="Times New Roman"/>
          <w:sz w:val="24"/>
          <w:szCs w:val="24"/>
        </w:rPr>
        <w:t>http://hdl.handle.net/10986/26707</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004EFCC9">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R. Laxminarayan, A. Duse, C. Wattal, A. K. M. Zaidi, H. F. L. Wertheim, N. Sumpradit, E. Vlieghe, G. L. Hara, I. M. Gould, H. Goossens, C. Greko, A. D. So, M. Bigdeli, G. Tomson, W. Woodhouse, E. Ombaka, A. Q. Peralta, F. N. Qamar, F. Mir, [...], O. Cars. Antibiotic resistance — the need for global solutions. The Lancet Infectious Diseases. Vol. 13, pg. 1057–1098, 2013, </w:t>
      </w:r>
      <w:r>
        <w:fldChar w:fldCharType="begin"/>
      </w:r>
      <w:r>
        <w:instrText xml:space="preserve"> HYPERLINK "https://doi.org/10.1016/S1473-3099(13)70%EE%80%80318-9" </w:instrText>
      </w:r>
      <w:r>
        <w:fldChar w:fldCharType="separate"/>
      </w:r>
      <w:r>
        <w:rPr>
          <w:rStyle w:val="12"/>
          <w:rFonts w:ascii="Times New Roman" w:hAnsi="Times New Roman" w:cs="Times New Roman"/>
          <w:sz w:val="24"/>
          <w:szCs w:val="24"/>
        </w:rPr>
        <w:t>https://doi.org/10.1016/S1473-3099(13)70318-9</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7FF3743A">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Y. Semenova, A. Yergaliyeva, A. Aimurziyeva, A. Manatova, A. Kuntuganova, L. Makalkina, N. Aldiyarova, D. Semenov, L. Lim. A nationwide evaluation of antibiotic consumption in Kazakhstan from 2019 to 2023. Antibiotics. Vol. 13, Article 1123, 2024, </w:t>
      </w:r>
      <w:r>
        <w:fldChar w:fldCharType="begin"/>
      </w:r>
      <w:r>
        <w:instrText xml:space="preserve"> HYPERLINK "https://doi.org/10.3390/anti%EE%80%80biotics13121123" </w:instrText>
      </w:r>
      <w:r>
        <w:fldChar w:fldCharType="separate"/>
      </w:r>
      <w:r>
        <w:rPr>
          <w:rStyle w:val="12"/>
          <w:rFonts w:ascii="Times New Roman" w:hAnsi="Times New Roman" w:cs="Times New Roman"/>
          <w:sz w:val="24"/>
          <w:szCs w:val="24"/>
        </w:rPr>
        <w:t>https://doi.org/10.3390/antibiotics13121123</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64AB7947">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D. R. MacFadden, S. F. McGough, D. Fisman, M. Santillana, J. S. Brownstein. Antibiotic resistance increases with local temperature. Nature Climate Change. Vol. 8, pg. 510–514, 2018, </w:t>
      </w:r>
      <w:r>
        <w:fldChar w:fldCharType="begin"/>
      </w:r>
      <w:r>
        <w:instrText xml:space="preserve"> HYPERLINK "https://doi.org/10.1038/s%EE%80%8041558-018-0161-6" </w:instrText>
      </w:r>
      <w:r>
        <w:fldChar w:fldCharType="separate"/>
      </w:r>
      <w:r>
        <w:rPr>
          <w:rStyle w:val="12"/>
          <w:rFonts w:ascii="Times New Roman" w:hAnsi="Times New Roman" w:cs="Times New Roman"/>
          <w:sz w:val="24"/>
          <w:szCs w:val="24"/>
        </w:rPr>
        <w:t>https://doi.org/10.1038/s41558-018-0161-6</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078CD6A6">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Pfizer. ATLAS database [data set]. Vivli, 2023, </w:t>
      </w:r>
      <w:r>
        <w:fldChar w:fldCharType="begin"/>
      </w:r>
      <w:r>
        <w:instrText xml:space="preserve"> HYPERLINK "https://vivli.org/" </w:instrText>
      </w:r>
      <w:r>
        <w:fldChar w:fldCharType="separate"/>
      </w:r>
      <w:r>
        <w:rPr>
          <w:rStyle w:val="12"/>
          <w:rFonts w:ascii="Times New Roman" w:hAnsi="Times New Roman" w:cs="Times New Roman"/>
          <w:sz w:val="24"/>
          <w:szCs w:val="24"/>
        </w:rPr>
        <w:t>https://vivli.org/</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472AAC3F">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Shionogi. SIDERO-WT database [data set]. Vivli, 2023, </w:t>
      </w:r>
      <w:r>
        <w:fldChar w:fldCharType="begin"/>
      </w:r>
      <w:r>
        <w:instrText xml:space="preserve"> HYPERLINK "https://vivli.org/" </w:instrText>
      </w:r>
      <w:r>
        <w:fldChar w:fldCharType="separate"/>
      </w:r>
      <w:r>
        <w:rPr>
          <w:rStyle w:val="12"/>
          <w:rFonts w:ascii="Times New Roman" w:hAnsi="Times New Roman" w:cs="Times New Roman"/>
          <w:sz w:val="24"/>
          <w:szCs w:val="24"/>
        </w:rPr>
        <w:t>https://vivli.org/</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2F3B38E4">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L. Wang, H. Chen, Y. Zhang, Y. Tian, X. Hu, J. Wu, X. Li, H. Jia, H. Wang, C. Yu, Y. Yang, L. Fang, H. Song. Global antibiotic consumption and regional antimicrobial resistance, 2010–21: an analysis of pharmaceutical sales and antimicrobial resistance surveillance data. Lancet Global Health. Vol. 13, pg. e1880–e1891, 2025, </w:t>
      </w:r>
      <w:r>
        <w:fldChar w:fldCharType="begin"/>
      </w:r>
      <w:r>
        <w:instrText xml:space="preserve"> HYPERLINK "https://doi.org/10.1016/S2214-109X(25)00%EE%80%80308-0" </w:instrText>
      </w:r>
      <w:r>
        <w:fldChar w:fldCharType="separate"/>
      </w:r>
      <w:r>
        <w:rPr>
          <w:rStyle w:val="12"/>
          <w:rFonts w:ascii="Times New Roman" w:hAnsi="Times New Roman" w:cs="Times New Roman"/>
          <w:sz w:val="24"/>
          <w:szCs w:val="24"/>
        </w:rPr>
        <w:t>https://doi.org/10.1016/S2214-109X(25)00308-0</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6E2BCC0A">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G. Zhussupova, D. Utepova, G. Orazova, S. Zhaldybayeva, G. Skvirskaya, K. Tossekbayev. Evaluation of antibiotic use in Kazakhstan for the period 2017–2019 based on WHO Access, Watch and Reserve classification (AWaRe 2019). Antibiotics. Vol. 10, Article 58, 2021, </w:t>
      </w:r>
      <w:r>
        <w:fldChar w:fldCharType="begin"/>
      </w:r>
      <w:r>
        <w:instrText xml:space="preserve"> HYPERLINK "https://doi.org/10.3390/antibi%EE%80%80otics10010058" </w:instrText>
      </w:r>
      <w:r>
        <w:fldChar w:fldCharType="separate"/>
      </w:r>
      <w:r>
        <w:rPr>
          <w:rStyle w:val="12"/>
          <w:rFonts w:ascii="Times New Roman" w:hAnsi="Times New Roman" w:cs="Times New Roman"/>
          <w:sz w:val="24"/>
          <w:szCs w:val="24"/>
        </w:rPr>
        <w:t>https://doi.org/10.3390/antibiotics10010058</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384DB056">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L. Kassym, A. Kussainova, D. Semenov, A. Aimurziyeva, S. Uzbekova, Y. Semenova. National trends in azithromycin consumption during 2017–2023 in Kazakhstan: impact of the COVID-19 pandemic and the imperative for enhanced clinical guidelines. Scientific Reports. Vol. 15, Article 6309, 2025, </w:t>
      </w:r>
      <w:r>
        <w:fldChar w:fldCharType="begin"/>
      </w:r>
      <w:r>
        <w:instrText xml:space="preserve"> HYPERLINK "https://doi.org/10.1038/s41598-025-91216%EE%80%80-4" </w:instrText>
      </w:r>
      <w:r>
        <w:fldChar w:fldCharType="separate"/>
      </w:r>
      <w:r>
        <w:rPr>
          <w:rStyle w:val="12"/>
          <w:rFonts w:ascii="Times New Roman" w:hAnsi="Times New Roman" w:cs="Times New Roman"/>
          <w:sz w:val="24"/>
          <w:szCs w:val="24"/>
        </w:rPr>
        <w:t>https://doi.org/10.1038/s41598-025-91216-4</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096420E8">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L. Lim, L. Kassym, A. Kussainova, B. Aubakirova, Y. Semenova, A. Jakupi. Optimizing antibiotic stewardship and reducing antimicrobial resistance in Central Asia: a study protocol for evidence-based practice and policy. PLoS ONE. Vol. 20, Article e0307784, 2025, </w:t>
      </w:r>
      <w:r>
        <w:fldChar w:fldCharType="begin"/>
      </w:r>
      <w:r>
        <w:instrText xml:space="preserve"> HYPERLINK "https://doi.org/10.1371/journal.pone.030%EE%80%807784" </w:instrText>
      </w:r>
      <w:r>
        <w:fldChar w:fldCharType="separate"/>
      </w:r>
      <w:r>
        <w:rPr>
          <w:rStyle w:val="12"/>
          <w:rFonts w:ascii="Times New Roman" w:hAnsi="Times New Roman" w:cs="Times New Roman"/>
          <w:sz w:val="24"/>
          <w:szCs w:val="24"/>
        </w:rPr>
        <w:t>https://doi.org/10.1371/journal.pone.0307784</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38A92103">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World Bank. World Development Indicators [data set]. 2023, </w:t>
      </w:r>
      <w:r>
        <w:fldChar w:fldCharType="begin"/>
      </w:r>
      <w:r>
        <w:instrText xml:space="preserve"> HYPERLINK "https://data.worldbank.org/" </w:instrText>
      </w:r>
      <w:r>
        <w:fldChar w:fldCharType="separate"/>
      </w:r>
      <w:r>
        <w:rPr>
          <w:rStyle w:val="12"/>
          <w:rFonts w:ascii="Times New Roman" w:hAnsi="Times New Roman" w:cs="Times New Roman"/>
          <w:sz w:val="24"/>
          <w:szCs w:val="24"/>
        </w:rPr>
        <w:t>https://data.worldbank.org/</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26EF7169">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Our World in Data. Monthly average surface temperature [data set]. 2023, </w:t>
      </w:r>
      <w:r>
        <w:fldChar w:fldCharType="begin"/>
      </w:r>
      <w:r>
        <w:instrText xml:space="preserve"> HYPERLINK "https://ourworldindata.org/grapher/avera%EE%80%80ge-monthly-surface-temperature" </w:instrText>
      </w:r>
      <w:r>
        <w:fldChar w:fldCharType="separate"/>
      </w:r>
      <w:r>
        <w:rPr>
          <w:rStyle w:val="12"/>
          <w:rFonts w:ascii="Times New Roman" w:hAnsi="Times New Roman" w:cs="Times New Roman"/>
          <w:sz w:val="24"/>
          <w:szCs w:val="24"/>
        </w:rPr>
        <w:t>https://ourworldindata.org/grapher/average-monthly-surface-temperature</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65F70D65">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World Health Organization. AWaRe classification of antibiotics. 2023, </w:t>
      </w:r>
      <w:r>
        <w:fldChar w:fldCharType="begin"/>
      </w:r>
      <w:r>
        <w:instrText xml:space="preserve"> HYPERLINK "https://www.who.int/publications/i/item/%EE%80%80WHO-MHP-HPS-EML-2023.04" </w:instrText>
      </w:r>
      <w:r>
        <w:fldChar w:fldCharType="separate"/>
      </w:r>
      <w:r>
        <w:rPr>
          <w:rStyle w:val="12"/>
          <w:rFonts w:ascii="Times New Roman" w:hAnsi="Times New Roman" w:cs="Times New Roman"/>
          <w:sz w:val="24"/>
          <w:szCs w:val="24"/>
        </w:rPr>
        <w:t>https://www.who.int/publications/i/item/WHO-MHP-HPS-EML-2023.04</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4B37CBB0">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European Committee on Antimicrobial Susceptibility Testing. Breakpoint tables for interpretation of MICs and zone diameters, version 13.0. 2023, </w:t>
      </w:r>
      <w:r>
        <w:fldChar w:fldCharType="begin"/>
      </w:r>
      <w:r>
        <w:instrText xml:space="preserve"> HYPERLINK "http://www.eucast.org" </w:instrText>
      </w:r>
      <w:r>
        <w:fldChar w:fldCharType="separate"/>
      </w:r>
      <w:r>
        <w:rPr>
          <w:rStyle w:val="12"/>
          <w:rFonts w:ascii="Times New Roman" w:hAnsi="Times New Roman" w:cs="Times New Roman"/>
          <w:sz w:val="24"/>
          <w:szCs w:val="24"/>
        </w:rPr>
        <w:t>http://www.eucast.org</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41B1AB71">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Z. Kosherova, D. Zhazykhbayeva, A. Aimurziyeva, D. Bayesheva, Y. Semenova. The implementation of antimicrobial consumption surveillance and stewardship in human healthcare in post-Soviet states: a systematic review. Antibiotics. Vol. 14, Article 749, 2025, </w:t>
      </w:r>
      <w:r>
        <w:fldChar w:fldCharType="begin"/>
      </w:r>
      <w:r>
        <w:instrText xml:space="preserve"> HYPERLINK "https://doi.org/10.3390/antib%EE%80%80iotics14080749" </w:instrText>
      </w:r>
      <w:r>
        <w:fldChar w:fldCharType="separate"/>
      </w:r>
      <w:r>
        <w:rPr>
          <w:rStyle w:val="12"/>
          <w:rFonts w:ascii="Times New Roman" w:hAnsi="Times New Roman" w:cs="Times New Roman"/>
          <w:sz w:val="24"/>
          <w:szCs w:val="24"/>
        </w:rPr>
        <w:t>https://doi.org/10.3390/antibiotics14080749</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150202A1">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H. He, E. A. Garcia. Learning from imbalanced data. IEEE Transactions on Knowledge and Data Engineering. Vol. 21, pg. 1263–1284, 2009, </w:t>
      </w:r>
      <w:r>
        <w:fldChar w:fldCharType="begin"/>
      </w:r>
      <w:r>
        <w:instrText xml:space="preserve"> HYPERLINK "https://doi.org/10.1109/TKDE.2008.%EE%80%80239" </w:instrText>
      </w:r>
      <w:r>
        <w:fldChar w:fldCharType="separate"/>
      </w:r>
      <w:r>
        <w:rPr>
          <w:rStyle w:val="12"/>
          <w:rFonts w:ascii="Times New Roman" w:hAnsi="Times New Roman" w:cs="Times New Roman"/>
          <w:sz w:val="24"/>
          <w:szCs w:val="24"/>
        </w:rPr>
        <w:t>https://doi.org/10.1109/TKDE.2008.239</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06E5259B">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E. R. DeLong, D. M. DeLong, D. L. Clarke-Pearson. Comparing the areas under two or more correlated receiver operating characteristic curves: a nonparametric approach. Biometrics. Vol. 44, pg. 837–845, 1988.</w:t>
      </w:r>
    </w:p>
    <w:p w14:paraId="61942B7B">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S. M. Lundberg, S.-I. Lee. A unified approach to interpreting model predictions. Advances in Neural Information Processing Systems. Vol. 30, pg. 4765–4774, 2017.</w:t>
      </w:r>
    </w:p>
    <w:p w14:paraId="284B45B6">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M. H. Kollef, A. F. Shorr, M. Bassetti, J.-F. Timsit, S. T. Micek, A. P. Michelson, J. Garnacho-Montero. Timing of antibiotic therapy in the ICU. Critical Care. Vol. 25, Article 360, 2021, </w:t>
      </w:r>
      <w:r>
        <w:fldChar w:fldCharType="begin"/>
      </w:r>
      <w:r>
        <w:instrText xml:space="preserve"> HYPERLINK "https://doi.org/10.1186/s13054-021-03787%EE%80%80-z" </w:instrText>
      </w:r>
      <w:r>
        <w:fldChar w:fldCharType="separate"/>
      </w:r>
      <w:r>
        <w:rPr>
          <w:rStyle w:val="12"/>
          <w:rFonts w:ascii="Times New Roman" w:hAnsi="Times New Roman" w:cs="Times New Roman"/>
          <w:sz w:val="24"/>
          <w:szCs w:val="24"/>
        </w:rPr>
        <w:t>https://doi.org/10.1186/s13054-021-03787-z</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05BC79D8">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Drouin, G. Letarte, F. Raymond, M. Marchand, J. Corbeil, F. Laviolette. Interpretable genotype-to-phenotype classifiers with performance guarantees. Scientific Reports. Vol. 9, Article 4071, 2019, </w:t>
      </w:r>
      <w:r>
        <w:fldChar w:fldCharType="begin"/>
      </w:r>
      <w:r>
        <w:instrText xml:space="preserve"> HYPERLINK "https://doi.org/10.1038/s41598-019-40561%EE%80%80-2" </w:instrText>
      </w:r>
      <w:r>
        <w:fldChar w:fldCharType="separate"/>
      </w:r>
      <w:r>
        <w:rPr>
          <w:rStyle w:val="12"/>
          <w:rFonts w:ascii="Times New Roman" w:hAnsi="Times New Roman" w:cs="Times New Roman"/>
          <w:sz w:val="24"/>
          <w:szCs w:val="24"/>
        </w:rPr>
        <w:t>https://doi.org/10.1038/s41598-019-40561-2</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39A2FDCE">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S. Valavarasu, Y. Sangu, T. Mahapatra. Prediction of antibiotic resistance from antibiotic susceptibility testing results from surveillance data using machine learning. Scientific Reports. Vol. 15, Article 30509, 2025, </w:t>
      </w:r>
      <w:r>
        <w:fldChar w:fldCharType="begin"/>
      </w:r>
      <w:r>
        <w:instrText xml:space="preserve"> HYPERLINK "https://doi.org/10.1038/s41598-025-14078%EE%80%80-w" </w:instrText>
      </w:r>
      <w:r>
        <w:fldChar w:fldCharType="separate"/>
      </w:r>
      <w:r>
        <w:rPr>
          <w:rStyle w:val="12"/>
          <w:rFonts w:ascii="Times New Roman" w:hAnsi="Times New Roman" w:cs="Times New Roman"/>
          <w:sz w:val="24"/>
          <w:szCs w:val="24"/>
        </w:rPr>
        <w:t>https://doi.org/10.1038/s41598-025-14078-w</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5979F8DE">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N. Wiesmann, D. Enders, A. Westendorf, R. Koch, F. Schaumburg. Prediction of antimicrobial resistance from MALDI-TOF mass spectra using machine learning: a validation study. Journal of Clinical Microbiology. Vol. 63, Article e01186-25, 2025, </w:t>
      </w:r>
      <w:r>
        <w:fldChar w:fldCharType="begin"/>
      </w:r>
      <w:r>
        <w:instrText xml:space="preserve"> HYPERLINK "https://doi.org/10.1128/jcm.01186-25" </w:instrText>
      </w:r>
      <w:r>
        <w:fldChar w:fldCharType="separate"/>
      </w:r>
      <w:r>
        <w:rPr>
          <w:rStyle w:val="12"/>
          <w:rFonts w:ascii="Times New Roman" w:hAnsi="Times New Roman" w:cs="Times New Roman"/>
          <w:sz w:val="24"/>
          <w:szCs w:val="24"/>
        </w:rPr>
        <w:t>https://doi.org/10.1128/jcm.01186-25</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00A008E2">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D. Aytan-Aktug, P. T. L. C. Clausen, V. Bortolaia, F. M. Aarestrup, O. Lund. Prediction of acquired antimicrobial resistance for multiple bacterial species using neural networks. mSystems. Vol. 5, Article e00774-19, 2020, </w:t>
      </w:r>
      <w:r>
        <w:fldChar w:fldCharType="begin"/>
      </w:r>
      <w:r>
        <w:instrText xml:space="preserve"> HYPERLINK "https://doi.org/10.1128/mSystems.00774-1%EE%80%809" </w:instrText>
      </w:r>
      <w:r>
        <w:fldChar w:fldCharType="separate"/>
      </w:r>
      <w:r>
        <w:rPr>
          <w:rStyle w:val="12"/>
          <w:rFonts w:ascii="Times New Roman" w:hAnsi="Times New Roman" w:cs="Times New Roman"/>
          <w:sz w:val="24"/>
          <w:szCs w:val="24"/>
        </w:rPr>
        <w:t>https://doi.org/10.1128/mSystems.00774-19</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7812B32D">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Y. Kim, I. Jeong, J.-H. Park, et al. Multi-task learning based early prediction model for antibiotic resistance using multi-institutional cohort data. Scientific Reports. Vol. 16, Article 11891, 2026, </w:t>
      </w:r>
      <w:r>
        <w:fldChar w:fldCharType="begin"/>
      </w:r>
      <w:r>
        <w:instrText xml:space="preserve"> HYPERLINK "https://doi.org/10.1038/s41%EE%80%80598-026-41185-z" </w:instrText>
      </w:r>
      <w:r>
        <w:fldChar w:fldCharType="separate"/>
      </w:r>
      <w:r>
        <w:rPr>
          <w:rStyle w:val="12"/>
          <w:rFonts w:ascii="Times New Roman" w:hAnsi="Times New Roman" w:cs="Times New Roman"/>
          <w:sz w:val="24"/>
          <w:szCs w:val="24"/>
        </w:rPr>
        <w:t>https://doi.org/10.1038/s41598-026-41185-z</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1F799B98">
      <w:pPr>
        <w:numPr>
          <w:ilvl w:val="0"/>
          <w:numId w:val="1"/>
        </w:num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V. Strochkov, V. Beloussov, S. Orkara, A. Lavrinenko, M. Solomadin, S. Yegorov, N. Sandybayev. Genomic characterization of multidrug-resistant Acinetobacter baumannii in pneumonia patients in Kazakhstan. Diagnostics. Vol. 15, Article 704, 2025, </w:t>
      </w:r>
      <w:r>
        <w:fldChar w:fldCharType="begin"/>
      </w:r>
      <w:r>
        <w:instrText xml:space="preserve"> HYPERLINK "https://doi.org/10.3390/diagnostics15060%EE%80%80704" </w:instrText>
      </w:r>
      <w:r>
        <w:fldChar w:fldCharType="separate"/>
      </w:r>
      <w:r>
        <w:rPr>
          <w:rStyle w:val="12"/>
          <w:rFonts w:ascii="Times New Roman" w:hAnsi="Times New Roman" w:cs="Times New Roman"/>
          <w:sz w:val="24"/>
          <w:szCs w:val="24"/>
        </w:rPr>
        <w:t>https://doi.org/10.3390/diagnostics15060704</w:t>
      </w:r>
      <w:r>
        <w:rPr>
          <w:rStyle w:val="12"/>
          <w:rFonts w:ascii="Times New Roman" w:hAnsi="Times New Roman" w:cs="Times New Roman"/>
          <w:sz w:val="24"/>
          <w:szCs w:val="24"/>
        </w:rPr>
        <w:fldChar w:fldCharType="end"/>
      </w:r>
      <w:r>
        <w:rPr>
          <w:rFonts w:ascii="Times New Roman" w:hAnsi="Times New Roman" w:cs="Times New Roman"/>
          <w:sz w:val="24"/>
          <w:szCs w:val="24"/>
        </w:rPr>
        <w:t>.</w:t>
      </w:r>
    </w:p>
    <w:p w14:paraId="7A84A46E">
      <w:pPr>
        <w:numPr>
          <w:ilvl w:val="0"/>
          <w:numId w:val="1"/>
        </w:numPr>
        <w:spacing w:beforeAutospacing="1" w:afterAutospacing="1" w:line="240" w:lineRule="auto"/>
        <w:rPr>
          <w:rFonts w:ascii="Times New Roman" w:hAnsi="Times New Roman" w:eastAsia="Times New Roman" w:cs="Times New Roman"/>
          <w:sz w:val="24"/>
          <w:szCs w:val="24"/>
          <w:highlight w:val="white"/>
        </w:rPr>
      </w:pPr>
      <w:r>
        <w:rPr>
          <w:rFonts w:ascii="Times New Roman" w:hAnsi="Times New Roman" w:cs="Times New Roman"/>
          <w:sz w:val="24"/>
          <w:szCs w:val="24"/>
        </w:rPr>
        <w:t xml:space="preserve">D. R. Roberts, V. Bahn, S. Ciuti, M. S. Boyce, J. Elith, G. Guillera-Arroita, S. Hauenstein, J. J. Lahoz-Monfort, B. Schröder, W. Thuiller, D. I. Warton, B. A. Wintle, F. Hartig, C. F. Dormann. Cross-validation strategies for data with temporal, spatial, hierarchical, or phylogenetic structure. Ecography. Vol. 40, pg. 913–929, 2017, </w:t>
      </w:r>
      <w:r>
        <w:fldChar w:fldCharType="begin"/>
      </w:r>
      <w:r>
        <w:instrText xml:space="preserve"> HYPERLINK "https://doi.org/10.1111/ecog.02881" </w:instrText>
      </w:r>
      <w:r>
        <w:fldChar w:fldCharType="separate"/>
      </w:r>
      <w:r>
        <w:rPr>
          <w:rStyle w:val="12"/>
          <w:rFonts w:ascii="Times New Roman" w:hAnsi="Times New Roman" w:cs="Times New Roman"/>
          <w:sz w:val="24"/>
          <w:szCs w:val="24"/>
        </w:rPr>
        <w:t>https://doi.org/10.1111/ecog.02881</w:t>
      </w:r>
      <w:r>
        <w:rPr>
          <w:rStyle w:val="12"/>
          <w:rFonts w:ascii="Times New Roman" w:hAnsi="Times New Roman" w:cs="Times New Roman"/>
          <w:sz w:val="24"/>
          <w:szCs w:val="24"/>
        </w:rPr>
        <w:fldChar w:fldCharType="end"/>
      </w:r>
      <w:r>
        <w:rPr>
          <w:rFonts w:ascii="Times New Roman" w:hAnsi="Times New Roman" w:cs="Times New Roman"/>
          <w:sz w:val="24"/>
          <w:szCs w:val="24"/>
        </w:rPr>
        <w:t>.</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67781DE-41F2-4CD0-B4F4-F60FFF94CC5A}"/>
  </w:font>
  <w:font w:name="Arial">
    <w:panose1 w:val="020B0604020202020204"/>
    <w:charset w:val="00"/>
    <w:family w:val="swiss"/>
    <w:pitch w:val="default"/>
    <w:sig w:usb0="E0002EFF" w:usb1="C000785B" w:usb2="00000009" w:usb3="00000000" w:csb0="400001FF" w:csb1="FFFF0000"/>
    <w:embedRegular r:id="rId2" w:fontKey="{C10D18EC-D9F9-4B27-864C-6F4057415CA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BDCF023-BC58-4357-B631-F58858D63FDD}"/>
  </w:font>
  <w:font w:name="Wingdings">
    <w:panose1 w:val="05000000000000000000"/>
    <w:charset w:val="02"/>
    <w:family w:val="auto"/>
    <w:pitch w:val="default"/>
    <w:sig w:usb0="00000000" w:usb1="00000000" w:usb2="00000000" w:usb3="00000000" w:csb0="80000000" w:csb1="00000000"/>
    <w:embedRegular r:id="rId4" w:fontKey="{0501A1D2-77EB-45C8-9CA8-C36F16B5BA72}"/>
  </w:font>
  <w:font w:name="Calibri">
    <w:panose1 w:val="020F0502020204030204"/>
    <w:charset w:val="00"/>
    <w:family w:val="swiss"/>
    <w:pitch w:val="default"/>
    <w:sig w:usb0="E4002EFF" w:usb1="C200247B" w:usb2="00000009" w:usb3="00000000" w:csb0="200001FF" w:csb1="00000000"/>
    <w:embedRegular r:id="rId5" w:fontKey="{A0274064-FC96-45C8-89A2-D8A15D30696B}"/>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embedRegular r:id="rId6" w:fontKey="{6D68BBE3-EDFF-4F10-B94D-2615A41AB23A}"/>
  </w:font>
  <w:font w:name="Segoe UI">
    <w:panose1 w:val="020B0502040204020203"/>
    <w:charset w:val="00"/>
    <w:family w:val="auto"/>
    <w:pitch w:val="default"/>
    <w:sig w:usb0="E4002EFF" w:usb1="C000E47F" w:usb2="00000009" w:usb3="00000000" w:csb0="200001FF" w:csb1="00000000"/>
    <w:embedRegular r:id="rId7" w:fontKey="{43AE8ACE-9075-4EFA-B6B3-4DA1EBA3847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55BAC7"/>
    <w:multiLevelType w:val="multilevel"/>
    <w:tmpl w:val="0B55BA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
  <w:rsids>
    <w:rsidRoot w:val="00FE5EE1"/>
    <w:rsid w:val="001A3FCF"/>
    <w:rsid w:val="0030614A"/>
    <w:rsid w:val="0092180E"/>
    <w:rsid w:val="00FE5EE1"/>
    <w:rsid w:val="185E4A3A"/>
    <w:rsid w:val="18714A89"/>
    <w:rsid w:val="1B612DA1"/>
    <w:rsid w:val="1BEE3F36"/>
    <w:rsid w:val="2B004513"/>
    <w:rsid w:val="4C0C0983"/>
    <w:rsid w:val="54C06FD5"/>
    <w:rsid w:val="55FE1DE0"/>
    <w:rsid w:val="599D17CB"/>
    <w:rsid w:val="5D705E14"/>
    <w:rsid w:val="6ADB565B"/>
    <w:rsid w:val="6BA97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ru-RU"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5"/>
    <w:qFormat/>
    <w:uiPriority w:val="0"/>
    <w:pPr>
      <w:spacing w:line="240" w:lineRule="auto"/>
    </w:pPr>
    <w:rPr>
      <w:rFonts w:ascii="Tahoma" w:hAnsi="Tahoma" w:cs="Tahoma"/>
      <w:sz w:val="16"/>
      <w:szCs w:val="16"/>
    </w:rPr>
  </w:style>
  <w:style w:type="character" w:styleId="11">
    <w:name w:val="Emphasis"/>
    <w:basedOn w:val="8"/>
    <w:qFormat/>
    <w:uiPriority w:val="20"/>
    <w:rPr>
      <w:i/>
      <w:iCs/>
    </w:rPr>
  </w:style>
  <w:style w:type="character" w:styleId="12">
    <w:name w:val="Hyperlink"/>
    <w:basedOn w:val="8"/>
    <w:qFormat/>
    <w:uiPriority w:val="0"/>
    <w:rPr>
      <w:color w:val="0000FF"/>
      <w:u w:val="single"/>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ru-RU"/>
    </w:rPr>
  </w:style>
  <w:style w:type="character" w:styleId="14">
    <w:name w:val="Strong"/>
    <w:basedOn w:val="8"/>
    <w:qFormat/>
    <w:uiPriority w:val="22"/>
    <w:rPr>
      <w:b/>
      <w:bCs/>
    </w:rPr>
  </w:style>
  <w:style w:type="paragraph" w:styleId="15">
    <w:name w:val="Subtitle"/>
    <w:basedOn w:val="1"/>
    <w:next w:val="1"/>
    <w:qFormat/>
    <w:uiPriority w:val="0"/>
    <w:pPr>
      <w:keepNext/>
      <w:keepLines/>
      <w:spacing w:after="320"/>
    </w:pPr>
    <w:rPr>
      <w:color w:val="666666"/>
      <w:sz w:val="30"/>
      <w:szCs w:val="30"/>
    </w:rPr>
  </w:style>
  <w:style w:type="table" w:styleId="16">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keepLines/>
      <w:spacing w:after="60"/>
    </w:pPr>
    <w:rPr>
      <w:sz w:val="52"/>
      <w:szCs w:val="52"/>
    </w:r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0"/>
    <w:basedOn w:val="18"/>
    <w:qFormat/>
    <w:uiPriority w:val="0"/>
  </w:style>
  <w:style w:type="table" w:customStyle="1" w:styleId="20">
    <w:name w:val="_Style 11"/>
    <w:basedOn w:val="18"/>
    <w:qFormat/>
    <w:uiPriority w:val="0"/>
  </w:style>
  <w:style w:type="table" w:customStyle="1" w:styleId="21">
    <w:name w:val="_Style 12"/>
    <w:basedOn w:val="18"/>
    <w:qFormat/>
    <w:uiPriority w:val="0"/>
  </w:style>
  <w:style w:type="table" w:customStyle="1" w:styleId="22">
    <w:name w:val="_Style 13"/>
    <w:basedOn w:val="18"/>
    <w:qFormat/>
    <w:uiPriority w:val="0"/>
  </w:style>
  <w:style w:type="table" w:customStyle="1" w:styleId="23">
    <w:name w:val="_Style 14"/>
    <w:basedOn w:val="18"/>
    <w:qFormat/>
    <w:uiPriority w:val="0"/>
  </w:style>
  <w:style w:type="table" w:customStyle="1" w:styleId="24">
    <w:name w:val="_Style 15"/>
    <w:basedOn w:val="18"/>
    <w:qFormat/>
    <w:uiPriority w:val="0"/>
  </w:style>
  <w:style w:type="character" w:customStyle="1" w:styleId="25">
    <w:name w:val="Текст выноски Знак"/>
    <w:basedOn w:val="8"/>
    <w:link w:val="10"/>
    <w:qFormat/>
    <w:uiPriority w:val="0"/>
    <w:rPr>
      <w:rFonts w:ascii="Tahoma" w:hAnsi="Tahoma" w:eastAsia="Arial" w:cs="Tahoma"/>
      <w:sz w:val="16"/>
      <w:szCs w:val="16"/>
      <w:lang w:val="en"/>
    </w:rPr>
  </w:style>
  <w:style w:type="character" w:customStyle="1" w:styleId="26">
    <w:name w:val="ai-highlight"/>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19</Pages>
  <Words>4172</Words>
  <Characters>26226</Characters>
  <Lines>314</Lines>
  <Paragraphs>88</Paragraphs>
  <TotalTime>0</TotalTime>
  <ScaleCrop>false</ScaleCrop>
  <LinksUpToDate>false</LinksUpToDate>
  <CharactersWithSpaces>30194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2026-06-24T12:53:00Z</dcterms:created>
  <dc:creator>niker</dc:creator>
  <cp:lastModifiedBy>niker</cp:lastModifiedBy>
  <dcterms:modified xsi:type="dcterms:W3CDTF">2026-06-24T17:52:30Z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eyJoZGlkIjoiNGUzMmJhMTEyNzQ0ZjBiMDVkOTkzOTg0MGI4MWY1MjcifQ==</vt:lpwstr>
  </property>
  <property fmtid="{D5CDD505-2E9C-101B-9397-08002B2CF9AE}" pid="3" name="KSOProductBuildVer">
    <vt:lpwstr>1033-12.1.0.26880</vt:lpwstr>
  </property>
  <property fmtid="{D5CDD505-2E9C-101B-9397-08002B2CF9AE}" pid="4" name="ICV">
    <vt:lpwstr>D500177BEAAA41FB88C92379E7995DDE_13</vt:lpwstr>
  </property>
</Properties>
</file>