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D26FB">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Predicting Antimicrobial Resistance Without Local Data: Cross-Country Transfer to Kazakhstan</w:t>
      </w:r>
    </w:p>
    <w:p w14:paraId="2310BBDA">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Abstract</w:t>
      </w:r>
    </w:p>
    <w:p w14:paraId="62AF1CE0">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Background.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Machine learning models predict antimicrobial resistance (AMR) well in high-income countries but do not work in locations where there is no local surveillance.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Despite uncontested evidence that AMR contributed to the deaths of over 1.14 million individuals in 2021, there are no adequate isolate-level data to inform empirical treatment in countries like Kazakhstan.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We ask whether AMR can be predicted for a country that did not contribute any training isolates, based exclusively on macroeconomic data, public information about antibiotic usage, and organism and antibiotic identities.</w:t>
      </w:r>
    </w:p>
    <w:p w14:paraId="05D0E910">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Methods.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About 11.3 million susceptibility results from 1.08 million isolates from 85 countries (excluding Kazakhstan) were used for training a CatBoost model.</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Resistance probability estimates were calculated by leave-one-country-out (LOCO) cross-validation as well as by temporal hold-out and four-country hold-out validation.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Resistance probability estimates were evaluated using AUC, recall, and expected calibration error (ECE).</w:t>
      </w:r>
    </w:p>
    <w:p w14:paraId="4C641B17">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Results.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On the post-2020 hold-out set, the model achieved an AUC of 0.849, a recall of 0.797, and an ECE of 0.012.</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 xml:space="preserve">The four held-out countries (prevalence 15–44%) had AUCs ranging between 0.81 and 0.89, and calibration was </w:t>
      </w:r>
      <w:r>
        <w:rPr>
          <w:rStyle w:val="26"/>
          <w:rFonts w:hint="default" w:ascii="Times New Roman" w:hAnsi="Times New Roman" w:cs="Times New Roman"/>
          <w:sz w:val="24"/>
          <w:szCs w:val="24"/>
          <w:lang w:val="en-US"/>
        </w:rPr>
        <w:t>lower</w:t>
      </w:r>
      <w:r>
        <w:rPr>
          <w:rStyle w:val="26"/>
          <w:rFonts w:hint="default" w:ascii="Times New Roman" w:hAnsi="Times New Roman" w:cs="Times New Roman"/>
          <w:sz w:val="24"/>
          <w:szCs w:val="24"/>
          <w:lang w:val="en-US"/>
        </w:rPr>
        <w:t xml:space="preserve"> when the held-out country was further from the training country in terms of similarity.</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 xml:space="preserve">Of 480 organism–antibiotic–year inferences in Kazakhstan, 66.9% exceeded the 20 percent limit, with </w:t>
      </w:r>
      <w:r>
        <w:rPr>
          <w:rStyle w:val="11"/>
          <w:rFonts w:hint="default" w:ascii="Times New Roman" w:hAnsi="Times New Roman" w:cs="Times New Roman"/>
          <w:sz w:val="24"/>
          <w:szCs w:val="24"/>
          <w:lang w:val="en-US"/>
        </w:rPr>
        <w:t>Acinetobacter baumannii</w:t>
      </w:r>
      <w:r>
        <w:rPr>
          <w:rStyle w:val="26"/>
          <w:rFonts w:hint="default" w:ascii="Times New Roman" w:hAnsi="Times New Roman" w:cs="Times New Roman"/>
          <w:sz w:val="24"/>
          <w:szCs w:val="24"/>
          <w:lang w:val="en-US"/>
        </w:rPr>
        <w:t xml:space="preserve"> showing the highest level of predicted resistance.</w:t>
      </w:r>
    </w:p>
    <w:p w14:paraId="52528919">
      <w:pPr>
        <w:pStyle w:val="13"/>
        <w:spacing w:line="240" w:lineRule="auto"/>
        <w:rPr>
          <w:rStyle w:val="26"/>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Conclusions.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Macro-feature transfer can support AMR testing in data-limited countries/territories, indicating which combinations to test first and not serving as a replacement for surveillance.</w:t>
      </w:r>
    </w:p>
    <w:p w14:paraId="6453E0A3">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 xml:space="preserve">Keywords: </w:t>
      </w:r>
      <w:r>
        <w:rPr>
          <w:rFonts w:hint="default" w:ascii="Times New Roman" w:hAnsi="Times New Roman" w:eastAsia="SimSun" w:cs="Times New Roman"/>
          <w:color w:val="000000"/>
          <w:kern w:val="0"/>
          <w:sz w:val="24"/>
          <w:szCs w:val="24"/>
          <w:lang w:val="en-US" w:eastAsia="zh-CN" w:bidi="ar"/>
        </w:rPr>
        <w:t xml:space="preserve">antimicrobial resistance; cross-country transfer learning; CatBoost; probability </w:t>
      </w:r>
    </w:p>
    <w:p w14:paraId="70F7B210">
      <w:pPr>
        <w:keepNext w:val="0"/>
        <w:keepLines w:val="0"/>
        <w:widowControl/>
        <w:suppressLineNumbers w:val="0"/>
        <w:spacing w:line="240" w:lineRule="auto"/>
        <w:jc w:val="left"/>
        <w:rPr>
          <w:rStyle w:val="26"/>
          <w:rFonts w:hint="default" w:ascii="Times New Roman" w:hAnsi="Times New Roman" w:cs="Times New Roman"/>
          <w:sz w:val="24"/>
          <w:szCs w:val="24"/>
          <w:lang w:val="en-US"/>
        </w:rPr>
      </w:pPr>
      <w:r>
        <w:rPr>
          <w:rFonts w:hint="default" w:ascii="Times New Roman" w:hAnsi="Times New Roman" w:eastAsia="SimSun" w:cs="Times New Roman"/>
          <w:color w:val="000000"/>
          <w:kern w:val="0"/>
          <w:sz w:val="24"/>
          <w:szCs w:val="24"/>
          <w:lang w:val="en-US" w:eastAsia="zh-CN" w:bidi="ar"/>
        </w:rPr>
        <w:t xml:space="preserve">calibration; surveillance gap; Kazakhstan. </w:t>
      </w:r>
    </w:p>
    <w:p w14:paraId="5F88D621">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Introduction</w:t>
      </w:r>
    </w:p>
    <w:p w14:paraId="5FFD7F9F">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Antimicrobial resistance (AMR) affects people and their communities, directly contributing to the deaths of 1.14 million people in 2021 due to AMR alone</w:t>
      </w:r>
      <w:r>
        <w:rPr>
          <w:rStyle w:val="26"/>
          <w:rFonts w:hint="default" w:ascii="Times New Roman" w:hAnsi="Times New Roman" w:cs="Times New Roman"/>
          <w:sz w:val="24"/>
          <w:szCs w:val="24"/>
          <w:vertAlign w:val="superscript"/>
          <w:lang w:val="en-US"/>
        </w:rPr>
        <w:t>1</w:t>
      </w:r>
      <w:r>
        <w:rPr>
          <w:rStyle w:val="26"/>
          <w:rFonts w:hint="default" w:ascii="Times New Roman" w:hAnsi="Times New Roman" w:cs="Times New Roman"/>
          <w:sz w:val="24"/>
          <w:szCs w:val="24"/>
          <w:lang w:val="en-US"/>
        </w:rPr>
        <w:t xml:space="preserve"> and 4.71 million deaths overall associated with AMR.</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By 2050, AMR is estimated to lead to 10 million cases a year worldwide</w:t>
      </w:r>
      <w:r>
        <w:rPr>
          <w:rStyle w:val="26"/>
          <w:rFonts w:hint="default" w:ascii="Times New Roman" w:hAnsi="Times New Roman" w:cs="Times New Roman"/>
          <w:sz w:val="24"/>
          <w:szCs w:val="24"/>
          <w:vertAlign w:val="superscript"/>
          <w:lang w:val="en-US"/>
        </w:rPr>
        <w:t>2</w:t>
      </w:r>
      <w:r>
        <w:rPr>
          <w:rStyle w:val="26"/>
          <w:rFonts w:hint="default" w:ascii="Times New Roman" w:hAnsi="Times New Roman" w:cs="Times New Roman"/>
          <w:sz w:val="24"/>
          <w:szCs w:val="24"/>
          <w:lang w:val="en-US"/>
        </w:rPr>
        <w:t xml:space="preserve"> and losses to global GDP of up to 3.4 trillion USD annually by 2030</w:t>
      </w:r>
      <w:r>
        <w:rPr>
          <w:rStyle w:val="26"/>
          <w:rFonts w:hint="default" w:ascii="Times New Roman" w:hAnsi="Times New Roman" w:cs="Times New Roman"/>
          <w:sz w:val="24"/>
          <w:szCs w:val="24"/>
          <w:vertAlign w:val="superscript"/>
          <w:lang w:val="en-US"/>
        </w:rPr>
        <w:t>3</w:t>
      </w:r>
      <w:r>
        <w:rPr>
          <w:rStyle w:val="26"/>
          <w:rFonts w:hint="default" w:ascii="Times New Roman" w:hAnsi="Times New Roman" w:cs="Times New Roman"/>
          <w:sz w:val="24"/>
          <w:szCs w:val="24"/>
          <w:lang w:val="en-US"/>
        </w:rPr>
        <w: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In reality, AMR is a global problem, but its impact is not felt uniformly; in LMICs this can be attributed to a lack of the necessary infrastructure, laboratory diagnostic tools, and infection control capacities.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Isolate data from global surveillance (WHO GLASS, ATLAS, SIDERO-WT) are highly skewed towards data from high-income countries, and resistance in LMICs is woefully under-represented.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Central Asia, including Kazakhstan, is a clear blind spot in global AMR monitoring due to limited microbiology laboratory capacity, suboptimal antimicrobial surveillance systems in post-Soviet countries, and an incomplete nationwide AMR surveillance program in Kazakhstan</w:t>
      </w:r>
      <w:r>
        <w:rPr>
          <w:rStyle w:val="26"/>
          <w:rFonts w:hint="default" w:ascii="Times New Roman" w:hAnsi="Times New Roman" w:cs="Times New Roman"/>
          <w:sz w:val="24"/>
          <w:szCs w:val="24"/>
          <w:vertAlign w:val="superscript"/>
          <w:lang w:val="en-US"/>
        </w:rPr>
        <w:t>17</w:t>
      </w:r>
      <w:r>
        <w:rPr>
          <w:rStyle w:val="26"/>
          <w:rFonts w:hint="default" w:ascii="Times New Roman" w:hAnsi="Times New Roman" w:cs="Times New Roman"/>
          <w:sz w:val="24"/>
          <w:szCs w:val="24"/>
          <w:lang w:val="en-US"/>
        </w:rPr>
        <w: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This motivated us to examine cross-country generalization, which we define as predicting resistance in a country where no data were used to train or validate the model, in this case applied to Kazakhstan, where no Kazakhstani data were used in training or validation of the model (global data only).</w:t>
      </w:r>
    </w:p>
    <w:p w14:paraId="37C20769">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Several pharmaco-epidemiological and epidemiological predictors have proved successful in predicting AMR without genomic information</w:t>
      </w:r>
      <w:r>
        <w:rPr>
          <w:rStyle w:val="26"/>
          <w:rFonts w:hint="default" w:ascii="Times New Roman" w:hAnsi="Times New Roman" w:cs="Times New Roman"/>
          <w:sz w:val="24"/>
          <w:szCs w:val="24"/>
          <w:vertAlign w:val="superscript"/>
          <w:lang w:val="en-US"/>
        </w:rPr>
        <w:t>6</w:t>
      </w:r>
      <w:r>
        <w:rPr>
          <w:rStyle w:val="26"/>
          <w:rFonts w:hint="default" w:ascii="Times New Roman" w:hAnsi="Times New Roman" w:cs="Times New Roman"/>
          <w:sz w:val="24"/>
          <w:szCs w:val="24"/>
          <w:lang w:val="en-US"/>
        </w:rPr>
        <w:t>, and phenotypic methods have also proved successful.</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All existing methods of validation, however, rely on isolates collected specifically within the study area, so for Kazakhstan, such isolates are not available, and Kazakhstan has rather few data sources.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most serious error is a false negative (i.e., not reporting a resistant isolate as resistant), which results in undertreatment of an infection or inappropriate empirical treatment.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This surveillance gap is addressed by a CatBoost model trained on global data and evaluated using only publicly accessible macroeconomic indicators and antibiotic consumption data as input features.</w:t>
      </w:r>
    </w:p>
    <w:p w14:paraId="354187EB">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This is, to our knowledge, the first time data-free cross-country prediction of AMR is applied in a Central Asian country – Kazakhstan.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Three non-local approaches are proposed for the use of ground truth data, namely temporal splitting, Leave-One-Country-Out (LOCO), and rolling temporal cross-validation (rTCV).</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Second, we demonstrated the feasibility of these common data in order to select priority tests that can be applied in areas with less data available (hypothesis generation), a task that could be easily replicated in numerous areas that are sparsely surveyed.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In Kazakhstan, where no national isolate-based system is established, the principle is based on the choice of which organism–antibiotic combination should be tested first.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resistance probability estimates generated by the model based on the global surveillance data, without using any clinical data from Kazakhstan and with only macro-level features and antibiotic consumption data, would be sufficient for prioritizing antibiotics using the 20 percent clinical actionability threshold.</w:t>
      </w:r>
    </w:p>
    <w:p w14:paraId="3677D12E">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 Methods</w:t>
      </w:r>
    </w:p>
    <w:p w14:paraId="0ECCAA39">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2.1 Study Design</w:t>
      </w:r>
    </w:p>
    <w:p w14:paraId="4511B2E9">
      <w:pPr>
        <w:pStyle w:val="13"/>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 cross-country prediction approach to forecasting AMR patterns for Kazakhstan without the need for local data to be used for model training is introduced in this paper. </w:t>
      </w:r>
      <w:r>
        <w:rPr>
          <w:rStyle w:val="26"/>
          <w:rFonts w:hint="default" w:ascii="Times New Roman" w:hAnsi="Times New Roman" w:cs="Times New Roman"/>
          <w:sz w:val="24"/>
          <w:szCs w:val="24"/>
          <w:lang w:val="en-US"/>
        </w:rPr>
        <w:t>The proposed pipeline is shown in Figure 1.</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Two input datasets are used – global AMR surveillance and macro-economic and antibiotic consumption at the national level.</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Firstly, the global AMR dataset is preprocessed, harmonized, and feature engineered; next, four machine learning models, including LightGBM, CatBoost, Random Forest, and Logistic Regression, are trained to determine the most suitable model among the candidates, excluding Kazakhstan from the sample.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Once selected, this model will be transferred to the Kazakhstan domain using only macroeconomic and antibiotic consumption features as inputs.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Three robustness measures are applied: hold-out, leave-one-country-out (LOCO) CV, and rolling-origin CV; all three are possible to apply to the data with no local ground truth.</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Once resistance probabilities are calibrated by the model chosen (with isotonic regression trained on the period of 2019-2020), multicriteria prioritisation leads to the final risk forecast.</w:t>
      </w:r>
    </w:p>
    <w:p w14:paraId="00E247DF">
      <w:pPr>
        <w:spacing w:after="16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lang w:val="ru-RU"/>
        </w:rPr>
        <w:drawing>
          <wp:inline distT="114300" distB="114300" distL="114300" distR="114300">
            <wp:extent cx="5943600" cy="3467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5943600" cy="3467100"/>
                    </a:xfrm>
                    <a:prstGeom prst="rect">
                      <a:avLst/>
                    </a:prstGeom>
                  </pic:spPr>
                </pic:pic>
              </a:graphicData>
            </a:graphic>
          </wp:inline>
        </w:drawing>
      </w:r>
    </w:p>
    <w:p w14:paraId="3F62E173">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 xml:space="preserve">Figure 1 </w:t>
      </w:r>
      <w:r>
        <w:rPr>
          <w:rStyle w:val="11"/>
          <w:rFonts w:hint="default" w:ascii="Times New Roman" w:hAnsi="Times New Roman" w:cs="Times New Roman"/>
          <w:sz w:val="24"/>
          <w:szCs w:val="24"/>
          <w:lang w:val="en-US"/>
        </w:rPr>
        <w:t>Overall workflow of the machine learning pipeline from data preprocessing to prediction.</w:t>
      </w:r>
    </w:p>
    <w:p w14:paraId="5167987C">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2.2 Data</w:t>
      </w:r>
    </w:p>
    <w:p w14:paraId="0514EDC5">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2.2.1 Data Sources and Acquisition</w:t>
      </w:r>
    </w:p>
    <w:p w14:paraId="42B830F7">
      <w:pPr>
        <w:pStyle w:val="13"/>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Two types of datasets were used: </w:t>
      </w:r>
      <w:r>
        <w:rPr>
          <w:rStyle w:val="26"/>
          <w:rFonts w:hint="default" w:ascii="Times New Roman" w:hAnsi="Times New Roman" w:cs="Times New Roman"/>
          <w:sz w:val="24"/>
          <w:szCs w:val="24"/>
          <w:lang w:val="en-US"/>
        </w:rPr>
        <w:t>a global dataset used for all model training, validation, and hyperparameter tuning, and a target dataset for Kazakhstan, where inference and post-hoc face validity were conducted and did not affect any model fitting process.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Isolate-level data were obtained from three global surveillance databases accessed via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"http://Vivli.org" \t "_blank" </w:instrText>
      </w:r>
      <w:r>
        <w:rPr>
          <w:rFonts w:hint="default" w:ascii="Times New Roman" w:hAnsi="Times New Roman" w:cs="Times New Roman"/>
          <w:sz w:val="24"/>
          <w:szCs w:val="24"/>
        </w:rPr>
        <w:fldChar w:fldCharType="separate"/>
      </w:r>
      <w:r>
        <w:rPr>
          <w:rStyle w:val="26"/>
          <w:rFonts w:hint="default" w:ascii="Times New Roman" w:hAnsi="Times New Roman" w:cs="Times New Roman"/>
          <w:color w:val="0000FF"/>
          <w:sz w:val="24"/>
          <w:szCs w:val="24"/>
          <w:u w:val="single"/>
          <w:lang w:val="en-US"/>
        </w:rPr>
        <w:t>Vivli.org</w:t>
      </w:r>
      <w:r>
        <w:rPr>
          <w:rStyle w:val="26"/>
          <w:rFonts w:hint="default" w:ascii="Times New Roman" w:hAnsi="Times New Roman" w:cs="Times New Roman"/>
          <w:color w:val="0000FF"/>
          <w:sz w:val="24"/>
          <w:szCs w:val="24"/>
          <w:u w:val="single"/>
          <w:lang w:val="en-US"/>
        </w:rPr>
        <w:fldChar w:fldCharType="end"/>
      </w:r>
      <w:r>
        <w:rPr>
          <w:rStyle w:val="26"/>
          <w:rFonts w:hint="default" w:ascii="Times New Roman" w:hAnsi="Times New Roman" w:cs="Times New Roman"/>
          <w:sz w:val="24"/>
          <w:szCs w:val="24"/>
          <w:lang w:val="en-US"/>
        </w:rPr>
        <w:t>: ATLAS (Pfizer)</w:t>
      </w:r>
      <w:r>
        <w:rPr>
          <w:rStyle w:val="26"/>
          <w:rFonts w:hint="default" w:ascii="Times New Roman" w:hAnsi="Times New Roman" w:cs="Times New Roman"/>
          <w:color w:val="0000FF"/>
          <w:sz w:val="24"/>
          <w:szCs w:val="24"/>
          <w:u w:val="single"/>
          <w:vertAlign w:val="superscript"/>
          <w:lang w:val="en-US"/>
        </w:rPr>
        <w:t>7</w:t>
      </w:r>
      <w:r>
        <w:rPr>
          <w:rStyle w:val="26"/>
          <w:rFonts w:hint="default" w:ascii="Times New Roman" w:hAnsi="Times New Roman" w:cs="Times New Roman"/>
          <w:color w:val="0000FF"/>
          <w:sz w:val="24"/>
          <w:szCs w:val="24"/>
          <w:u w:val="single"/>
          <w:lang w:val="en-US"/>
        </w:rPr>
        <w:t>, SIDERO-WT (Shionogi)</w:t>
      </w:r>
      <w:r>
        <w:rPr>
          <w:rStyle w:val="26"/>
          <w:rFonts w:hint="default" w:ascii="Times New Roman" w:hAnsi="Times New Roman" w:cs="Times New Roman"/>
          <w:color w:val="0000FF"/>
          <w:sz w:val="24"/>
          <w:szCs w:val="24"/>
          <w:u w:val="single"/>
          <w:vertAlign w:val="superscript"/>
          <w:lang w:val="en-US"/>
        </w:rPr>
        <w:t>8</w:t>
      </w:r>
      <w:r>
        <w:rPr>
          <w:rStyle w:val="26"/>
          <w:rFonts w:hint="default" w:ascii="Times New Roman" w:hAnsi="Times New Roman" w:cs="Times New Roman"/>
          <w:color w:val="0000FF"/>
          <w:sz w:val="24"/>
          <w:szCs w:val="24"/>
          <w:u w:val="single"/>
          <w:lang w:val="en-US"/>
        </w:rPr>
        <w:t>, and KEYSTONE, following applications for data access.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data on consumption of antibiotics (DDD per 1,000 inhabitants per day) were obtained from Wang et al.</w:t>
      </w:r>
      <w:r>
        <w:rPr>
          <w:rFonts w:hint="default" w:ascii="Times New Roman" w:hAnsi="Times New Roman" w:cs="Times New Roman"/>
          <w:sz w:val="24"/>
          <w:szCs w:val="24"/>
          <w:vertAlign w:val="superscript"/>
        </w:rPr>
        <w:t>9</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Kazakhstan has no national AMR surveillance system, thus no isolate-level susceptibility data were available for model training.</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All features were country-level proxy features in the same feature space as the training dataset for the Kazakhstan target dataset.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national average antibiotic consumption rates from four published articles</w:t>
      </w:r>
      <w:r>
        <w:rPr>
          <w:rStyle w:val="26"/>
          <w:rFonts w:hint="default" w:ascii="Times New Roman" w:hAnsi="Times New Roman" w:cs="Times New Roman"/>
          <w:sz w:val="24"/>
          <w:szCs w:val="24"/>
          <w:vertAlign w:val="superscript"/>
          <w:lang w:val="en-US"/>
        </w:rPr>
        <w:t>10,5,11,12</w:t>
      </w:r>
      <w:r>
        <w:rPr>
          <w:rStyle w:val="26"/>
          <w:rFonts w:hint="default" w:ascii="Times New Roman" w:hAnsi="Times New Roman" w:cs="Times New Roman"/>
          <w:sz w:val="24"/>
          <w:szCs w:val="24"/>
          <w:lang w:val="en-US"/>
        </w:rPr>
        <w:t xml:space="preserve"> were used.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Kazakhstan feature grid was completed with six macroeconomic indicators (GDP per capita, health expenditure (% of GDP), population density, access to basic water, access to sanitation, and hospital beds per 1,000), annual mean surface temperature (all from World Bank Open Data, 2017–2023)</w:t>
      </w:r>
      <w:r>
        <w:rPr>
          <w:rStyle w:val="26"/>
          <w:rFonts w:hint="default" w:ascii="Times New Roman" w:hAnsi="Times New Roman" w:cs="Times New Roman"/>
          <w:sz w:val="24"/>
          <w:szCs w:val="24"/>
          <w:vertAlign w:val="superscript"/>
          <w:lang w:val="en-US"/>
        </w:rPr>
        <w:t>13</w:t>
      </w:r>
      <w:r>
        <w:rPr>
          <w:rStyle w:val="26"/>
          <w:rFonts w:hint="default" w:ascii="Times New Roman" w:hAnsi="Times New Roman" w:cs="Times New Roman"/>
          <w:sz w:val="24"/>
          <w:szCs w:val="24"/>
          <w:lang w:val="en-US"/>
        </w:rPr>
        <w:t>, and WHO AWaRe Access percentages</w:t>
      </w:r>
      <w:r>
        <w:rPr>
          <w:rStyle w:val="26"/>
          <w:rFonts w:hint="default" w:ascii="Times New Roman" w:hAnsi="Times New Roman" w:cs="Times New Roman"/>
          <w:sz w:val="24"/>
          <w:szCs w:val="24"/>
          <w:vertAlign w:val="superscript"/>
          <w:lang w:val="en-US"/>
        </w:rPr>
        <w:t>10,15</w:t>
      </w:r>
      <w:r>
        <w:rPr>
          <w:rStyle w:val="26"/>
          <w:rFonts w:hint="default" w:ascii="Times New Roman" w:hAnsi="Times New Roman" w:cs="Times New Roman"/>
          <w:sz w:val="24"/>
          <w:szCs w:val="24"/>
          <w:lang w:val="en-US"/>
        </w:rPr>
        <w: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features were only evaluated for their ability to produce resistance probability estimates and were not used in training or calibration of models; only published Kazakhstani resistance rates were evaluated for face validity, and they were never used in model training or calibration.</w:t>
      </w:r>
    </w:p>
    <w:p w14:paraId="168E2C97">
      <w:pPr>
        <w:pStyle w:val="13"/>
        <w:spacing w:line="240" w:lineRule="auto"/>
        <w:rPr>
          <w:rFonts w:hint="default" w:ascii="Times New Roman" w:hAnsi="Times New Roman" w:cs="Times New Roman"/>
          <w:sz w:val="24"/>
          <w:szCs w:val="24"/>
        </w:rPr>
      </w:pPr>
      <w:r>
        <w:rPr>
          <w:rStyle w:val="14"/>
          <w:rFonts w:hint="default" w:ascii="Times New Roman" w:hAnsi="Times New Roman" w:cs="Times New Roman"/>
          <w:sz w:val="24"/>
          <w:szCs w:val="24"/>
        </w:rPr>
        <w:t>2.2.2 Data Harmonization</w:t>
      </w:r>
    </w:p>
    <w:p w14:paraId="2FA1D641">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Standard names were used for column names to ensure consistency, and inconsistencies in country names were resolved using a mapping table.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Codes that were assigned to an antibiotic were discarded if the code was incorrectly entered as the name of an antibiotic.</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One of two forms of susceptibility classification was applied, depending on the source database.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ATLAS provided pre-computed susceptible (S)/intermediate (I)/resistant (R) interpretations, which were applied directly and accounted for 95.1% of the total labelled results.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SIDERO-WT and KEYSTONE reported raw minimum inhibitory concentration (MIC) data, which were binarized using organism-specific clinical breakpoints (EUCAST Clinical Breakpoints v13.0 (2023)</w:t>
      </w:r>
      <w:r>
        <w:rPr>
          <w:rStyle w:val="26"/>
          <w:rFonts w:hint="default" w:ascii="Times New Roman" w:hAnsi="Times New Roman" w:cs="Times New Roman"/>
          <w:sz w:val="24"/>
          <w:szCs w:val="24"/>
          <w:vertAlign w:val="superscript"/>
          <w:lang w:val="en-US"/>
        </w:rPr>
        <w:t>16</w:t>
      </w:r>
      <w:r>
        <w:rPr>
          <w:rStyle w:val="26"/>
          <w:rFonts w:hint="default" w:ascii="Times New Roman" w:hAnsi="Times New Roman" w:cs="Times New Roman"/>
          <w:sz w:val="24"/>
          <w:szCs w:val="24"/>
          <w:lang w:val="en-US"/>
        </w:rPr>
        <w:t xml:space="preserve"> where available, and CLSI M100-Ed33 (2023) for organism–antibiotic combinations not covered by EUCAST;.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remaining 4.9% of results were derived from MIC-based labels.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Intermediate isolates were dropped to ensure a clear division between susceptible and resistant isolates.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names of antibiotics in the Kazakhstan dataset were converted to lowercase, and partial matching was performed with the global set of antibiotics; antibiotics that could not be matched were excluded from the dataset.</w:t>
      </w:r>
    </w:p>
    <w:p w14:paraId="4D54BC17">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2.2.3 Feature Engineering</w:t>
      </w:r>
    </w:p>
    <w:p w14:paraId="1EA5F36C">
      <w:pPr>
        <w:pStyle w:val="13"/>
        <w:spacing w:line="240" w:lineRule="auto"/>
        <w:rPr>
          <w:rFonts w:hint="default" w:ascii="Times New Roman" w:hAnsi="Times New Roman" w:cs="Times New Roman"/>
          <w:sz w:val="24"/>
          <w:szCs w:val="24"/>
        </w:rPr>
      </w:pPr>
      <w:r>
        <w:rPr>
          <w:rStyle w:val="26"/>
          <w:rFonts w:hint="default" w:ascii="Times New Roman" w:hAnsi="Times New Roman" w:cs="Times New Roman"/>
          <w:sz w:val="24"/>
          <w:szCs w:val="24"/>
          <w:lang w:val="en-US"/>
        </w:rPr>
        <w:t>The AMR data were combined with macroeconomic and consumption features into a yearly country-level dataset.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Features showing right skewness, where most countries have moderate values but a few wealthy countries have very high values (such as GDP and consumption data), were logarithmised using log(1 + x).</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For Kazakhstan, no population density data were available from the World Bank; therefore, this was calculated manually using population and surface area data.</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Chronological forward-filling was applied to missing values, and the global mean for each feature over the training period (prior to 2018) was used for any remaining missing values, so that no validation or test data influenced the filling.</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final feature set comprised 13 features: 3 categorical (organism, antibiotic, antibiotic class) and 10 numeric (year, 9 macroeconomic features).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When applied to the entire training set, forward-filling resolved most missing macro-feature values; global mean imputation was required for a median of 9.4% of country-year observations per feature, with the highest missingness in aware access pct (86.2%, 53 countries) and consumption DDD per class (57.9%, 52 countries).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Core World Bank indicators (GDP per capita, population density, health expenditure) had the lowest missingness (7.9%), reflecting the fewest countries lacking World Bank reporting coverage.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rPr>
        <w:t>All features are listed in Table 1.</w:t>
      </w:r>
    </w:p>
    <w:tbl>
      <w:tblPr>
        <w:tblStyle w:val="19"/>
        <w:tblW w:w="888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245"/>
        <w:gridCol w:w="4635"/>
      </w:tblGrid>
      <w:tr w14:paraId="3DA173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jc w:val="center"/>
        </w:trPr>
        <w:tc>
          <w:tcPr>
            <w:tcW w:w="4245"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59E09FFE">
            <w:pPr>
              <w:spacing w:after="20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Feature Type</w:t>
            </w:r>
          </w:p>
        </w:tc>
        <w:tc>
          <w:tcPr>
            <w:tcW w:w="4635"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4D9608BF">
            <w:pPr>
              <w:spacing w:after="20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Features</w:t>
            </w:r>
          </w:p>
        </w:tc>
      </w:tr>
      <w:tr w14:paraId="288AED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05" w:hRule="atLeast"/>
          <w:jc w:val="center"/>
        </w:trPr>
        <w:tc>
          <w:tcPr>
            <w:tcW w:w="4245" w:type="dxa"/>
            <w:tcBorders>
              <w:top w:val="single" w:color="000000" w:sz="8" w:space="0"/>
              <w:left w:val="single" w:color="000000" w:sz="8" w:space="0"/>
              <w:bottom w:val="single" w:color="D3D3D3" w:sz="8" w:space="0"/>
              <w:right w:val="single" w:color="000000" w:sz="8" w:space="0"/>
            </w:tcBorders>
            <w:shd w:val="clear" w:color="auto" w:fill="FFFFFF"/>
            <w:tcMar>
              <w:top w:w="120" w:type="dxa"/>
              <w:left w:w="0" w:type="dxa"/>
              <w:bottom w:w="120" w:type="dxa"/>
              <w:right w:w="0" w:type="dxa"/>
            </w:tcMar>
          </w:tcPr>
          <w:p w14:paraId="48FCC8DE">
            <w:pPr>
              <w:spacing w:after="20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Categorical</w:t>
            </w:r>
          </w:p>
        </w:tc>
        <w:tc>
          <w:tcPr>
            <w:tcW w:w="4635" w:type="dxa"/>
            <w:tcBorders>
              <w:top w:val="single" w:color="000000" w:sz="8" w:space="0"/>
              <w:left w:val="single" w:color="000000" w:sz="8" w:space="0"/>
              <w:bottom w:val="single" w:color="D3D3D3" w:sz="8" w:space="0"/>
              <w:right w:val="single" w:color="000000" w:sz="8" w:space="0"/>
            </w:tcBorders>
            <w:shd w:val="clear" w:color="auto" w:fill="FFFFFF"/>
            <w:tcMar>
              <w:top w:w="120" w:type="dxa"/>
              <w:left w:w="0" w:type="dxa"/>
              <w:bottom w:w="120" w:type="dxa"/>
              <w:right w:w="0" w:type="dxa"/>
            </w:tcMar>
          </w:tcPr>
          <w:p w14:paraId="2DC6586A">
            <w:pPr>
              <w:spacing w:after="20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organism  •  antibiotic  •  antibiotic_class</w:t>
            </w:r>
          </w:p>
        </w:tc>
      </w:tr>
      <w:tr w14:paraId="5BA9BB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220" w:hRule="atLeast"/>
          <w:jc w:val="center"/>
        </w:trPr>
        <w:tc>
          <w:tcPr>
            <w:tcW w:w="4245" w:type="dxa"/>
            <w:tcBorders>
              <w:top w:val="single" w:color="000000" w:sz="8" w:space="0"/>
              <w:left w:val="single" w:color="000000" w:sz="8" w:space="0"/>
              <w:bottom w:val="single" w:color="D3D3D3" w:sz="8" w:space="0"/>
              <w:right w:val="single" w:color="000000" w:sz="8" w:space="0"/>
            </w:tcBorders>
            <w:shd w:val="clear" w:color="auto" w:fill="FFFFFF"/>
            <w:tcMar>
              <w:top w:w="120" w:type="dxa"/>
              <w:left w:w="0" w:type="dxa"/>
              <w:bottom w:w="120" w:type="dxa"/>
              <w:right w:w="0" w:type="dxa"/>
            </w:tcMar>
          </w:tcPr>
          <w:p w14:paraId="39BBDA5C">
            <w:pPr>
              <w:spacing w:after="20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Numerical</w:t>
            </w:r>
          </w:p>
        </w:tc>
        <w:tc>
          <w:tcPr>
            <w:tcW w:w="4635" w:type="dxa"/>
            <w:tcBorders>
              <w:top w:val="single" w:color="000000" w:sz="8" w:space="0"/>
              <w:left w:val="single" w:color="000000" w:sz="8" w:space="0"/>
              <w:bottom w:val="single" w:color="D3D3D3" w:sz="8" w:space="0"/>
              <w:right w:val="single" w:color="000000" w:sz="8" w:space="0"/>
            </w:tcBorders>
            <w:shd w:val="clear" w:color="auto" w:fill="FFFFFF"/>
            <w:tcMar>
              <w:top w:w="120" w:type="dxa"/>
              <w:left w:w="0" w:type="dxa"/>
              <w:bottom w:w="120" w:type="dxa"/>
              <w:right w:w="0" w:type="dxa"/>
            </w:tcMar>
          </w:tcPr>
          <w:p w14:paraId="65AA4BA0">
            <w:pPr>
              <w:spacing w:after="20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year,  log_gdp_per_capita, health_expenditure_pct_gdp,  population_density_per_sq_km,  log_consumption_ddd_per_class,  sanitation_access_pct,  water_access_pct,  hospital_beds_per_1000,  mean_temp_celsius, aware_access_pct</w:t>
            </w:r>
          </w:p>
        </w:tc>
      </w:tr>
    </w:tbl>
    <w:p w14:paraId="78E79FB7">
      <w:pPr>
        <w:spacing w:after="160" w:line="240" w:lineRule="auto"/>
        <w:jc w:val="center"/>
        <w:rPr>
          <w:rFonts w:hint="default" w:ascii="Times New Roman" w:hAnsi="Times New Roman" w:eastAsia="Times New Roman" w:cs="Times New Roman"/>
          <w:i/>
          <w:iCs/>
          <w:sz w:val="24"/>
          <w:szCs w:val="24"/>
          <w:highlight w:val="white"/>
        </w:rPr>
      </w:pPr>
      <w:r>
        <w:rPr>
          <w:rFonts w:hint="default" w:ascii="Times New Roman" w:hAnsi="Times New Roman" w:eastAsia="Times New Roman" w:cs="Times New Roman"/>
          <w:i/>
          <w:iCs/>
          <w:sz w:val="24"/>
          <w:szCs w:val="24"/>
          <w:highlight w:val="white"/>
        </w:rPr>
        <w:t xml:space="preserve">Table 1: Final feature set used for model training and inference. </w:t>
      </w:r>
    </w:p>
    <w:p w14:paraId="0A16377C">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2.3 Cross-Country Generalization Design</w:t>
      </w:r>
    </w:p>
    <w:p w14:paraId="1A8B5835">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Primary model</w:t>
      </w:r>
      <w:r>
        <w:rPr>
          <w:rStyle w:val="26"/>
          <w:rFonts w:hint="default" w:ascii="Times New Roman" w:hAnsi="Times New Roman" w:cs="Times New Roman"/>
          <w:sz w:val="24"/>
          <w:szCs w:val="24"/>
          <w:lang w:val="en-US"/>
        </w:rPr>
        <w:t xml:space="preserve"> was constructed based on global AMR data and applied to Kazakhstan as an unseen region, assuming that no information about AMR status in Kazakhstan itself was known, but only proxy variables related to macroeconomic indicators and antibiotic consumption.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National antibiotic consumption data (defined daily doses per 1,000 inhabitants per day, 2017–2023) were combined with the six priority pathogens identified by WHO (</w:t>
      </w:r>
      <w:r>
        <w:rPr>
          <w:rStyle w:val="11"/>
          <w:rFonts w:hint="default" w:ascii="Times New Roman" w:hAnsi="Times New Roman" w:cs="Times New Roman"/>
          <w:sz w:val="24"/>
          <w:szCs w:val="24"/>
          <w:lang w:val="en-US"/>
        </w:rPr>
        <w:t>E. coli</w:t>
      </w:r>
      <w:r>
        <w:rPr>
          <w:rStyle w:val="26"/>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lang w:val="en-US"/>
        </w:rPr>
        <w:t>K. pneumoniae</w:t>
      </w:r>
      <w:r>
        <w:rPr>
          <w:rStyle w:val="26"/>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lang w:val="en-US"/>
        </w:rPr>
        <w:t>S. aureus</w:t>
      </w:r>
      <w:r>
        <w:rPr>
          <w:rStyle w:val="26"/>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lang w:val="en-US"/>
        </w:rPr>
        <w:t>P. aeruginosa</w:t>
      </w:r>
      <w:r>
        <w:rPr>
          <w:rStyle w:val="26"/>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lang w:val="en-US"/>
        </w:rPr>
        <w:t>A. baumannii</w:t>
      </w:r>
      <w:r>
        <w:rPr>
          <w:rStyle w:val="26"/>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lang w:val="en-US"/>
        </w:rPr>
        <w:t>E. faecium</w:t>
      </w:r>
      <w:r>
        <w:rPr>
          <w:rStyle w:val="26"/>
          <w:rFonts w:hint="default" w:ascii="Times New Roman" w:hAnsi="Times New Roman" w:cs="Times New Roman"/>
          <w:sz w:val="24"/>
          <w:szCs w:val="24"/>
          <w:lang w:val="en-US"/>
        </w:rPr>
        <w:t>) to produce 480 organism–antibiotic–year inferences for Kazakhstan's inference grid.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All features were imputed and log-transformed as was done with the worldwide dataset (Sections 2.2.2–2.2.3), though the pharmacological class was also constructed.</w:t>
      </w:r>
    </w:p>
    <w:p w14:paraId="4560209F">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 xml:space="preserve">The </w:t>
      </w:r>
      <w:r>
        <w:rPr>
          <w:rStyle w:val="26"/>
          <w:rFonts w:hint="default" w:ascii="Times New Roman" w:hAnsi="Times New Roman" w:cs="Times New Roman"/>
          <w:sz w:val="24"/>
          <w:szCs w:val="24"/>
          <w:lang w:val="en-US"/>
        </w:rPr>
        <w:t>primary model was implemented</w:t>
      </w:r>
      <w:r>
        <w:rPr>
          <w:rStyle w:val="26"/>
          <w:rFonts w:hint="default" w:ascii="Times New Roman" w:hAnsi="Times New Roman" w:cs="Times New Roman"/>
          <w:sz w:val="24"/>
          <w:szCs w:val="24"/>
          <w:lang w:val="en-US"/>
        </w:rPr>
        <w:t xml:space="preserve"> with the leave-one-country-out (LOCO) method, where all remaining 85 countries were used for model training but not Kazakhstan.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For sensitivity assessment related to the choice of reference population, a post-Soviet model (Russia, Ukraine, Belarus, Lithuania, Latvia, Estonia)</w:t>
      </w:r>
      <w:r>
        <w:rPr>
          <w:rStyle w:val="26"/>
          <w:rFonts w:hint="default" w:ascii="Times New Roman" w:hAnsi="Times New Roman" w:cs="Times New Roman"/>
          <w:sz w:val="24"/>
          <w:szCs w:val="24"/>
          <w:vertAlign w:val="superscript"/>
          <w:lang w:val="en-US"/>
        </w:rPr>
        <w:t>5,17</w:t>
      </w:r>
      <w:r>
        <w:rPr>
          <w:rStyle w:val="26"/>
          <w:rFonts w:hint="default" w:ascii="Times New Roman" w:hAnsi="Times New Roman" w:cs="Times New Roman"/>
          <w:sz w:val="24"/>
          <w:szCs w:val="24"/>
          <w:lang w:val="en-US"/>
        </w:rPr>
        <w:t xml:space="preserve"> was also fitted, drawn from countries that share the legacy of the Soviet healthcare system.</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 data-driven structural-peer group was further explored using k-means clustering of standardized country-level macroeconomic and consumption indicators (k = 6); however, Kazakhstan emerged as a singleton cluster, with its closest neighbours being mostly post-Soviet and Eastern European middle-income countries.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As no distinct peer group could be formed, no structural-peer comparison was conducted, and inference relied on the global LOCO model.</w:t>
      </w:r>
    </w:p>
    <w:p w14:paraId="3E38846E">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2.4 Model Development</w:t>
      </w:r>
    </w:p>
    <w:p w14:paraId="039C4B9E">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The following algorithms were experimented with: gradient-boosted models (LightGBM, CatBoost) and ensemble/interpretable baselines (Random Forest, Logistic Regression).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For the gradient-boosted models, positive-class weight (scale_pos_weight) was used to handle class imbalance (resistant/susceptible ≈ 1:4), while balanced class weights were applied for Logistic Regression and Random Forest.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Owing to computational constraints, hyperparameters were tuned once on the full global dataset rather than separately within each LOCO fold.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 xml:space="preserve">However, this is not a major concern </w:t>
      </w:r>
      <w:r>
        <w:rPr>
          <w:rStyle w:val="26"/>
          <w:rFonts w:hint="default" w:ascii="Times New Roman" w:hAnsi="Times New Roman" w:cs="Times New Roman"/>
          <w:sz w:val="24"/>
          <w:szCs w:val="24"/>
          <w:lang w:val="en-US"/>
        </w:rPr>
        <w:t>as</w:t>
      </w:r>
      <w:r>
        <w:rPr>
          <w:rStyle w:val="26"/>
          <w:rFonts w:hint="default" w:ascii="Times New Roman" w:hAnsi="Times New Roman" w:cs="Times New Roman"/>
          <w:sz w:val="24"/>
          <w:szCs w:val="24"/>
          <w:lang w:val="en-US"/>
        </w:rPr>
        <w:t xml:space="preserve"> no single country accounts for more than 5</w:t>
      </w:r>
      <w:r>
        <w:rPr>
          <w:rStyle w:val="26"/>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 xml:space="preserve"> of the total 85 training countries.</w:t>
      </w:r>
    </w:p>
    <w:p w14:paraId="449A07CA">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2.5 Evaluation Methods</w:t>
      </w:r>
    </w:p>
    <w:p w14:paraId="5ACD543A">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2.5.1 General Evaluation Metrics</w:t>
      </w:r>
    </w:p>
    <w:p w14:paraId="2F7602EB">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The following metrics were used to assess the models' performance: AUC (Area Under the Curve), AUPRC (Area Under the Precision-Recall Curve), recall, F1 score, calibration-based metrics (Brier score and BSS: Brier Skill Score), and ECE (Expected Calibration Error).</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For this reason, recall and AUPRC were selected as co-primary metrics, as resistant infections may have clinical implications because falsely treated resistant infections may lead to further spread of resistance, while falsely considered "susceptible" infections do not</w:t>
      </w:r>
      <w:r>
        <w:rPr>
          <w:rStyle w:val="26"/>
          <w:rFonts w:hint="default" w:ascii="Times New Roman" w:hAnsi="Times New Roman" w:cs="Times New Roman"/>
          <w:sz w:val="24"/>
          <w:szCs w:val="24"/>
          <w:vertAlign w:val="superscript"/>
          <w:lang w:val="en-US"/>
        </w:rPr>
        <w:t>18</w:t>
      </w:r>
      <w:r>
        <w:rPr>
          <w:rStyle w:val="26"/>
          <w:rFonts w:hint="default" w:ascii="Times New Roman" w:hAnsi="Times New Roman" w:cs="Times New Roman"/>
          <w:sz w:val="24"/>
          <w:szCs w:val="24"/>
          <w:lang w:val="en-US"/>
        </w:rPr>
        <w:t>.</w:t>
      </w:r>
    </w:p>
    <w:p w14:paraId="70B4A0AA">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2.5.2 Calibration Methods</w:t>
      </w:r>
    </w:p>
    <w:p w14:paraId="77E7E869">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The degree of calibration was evaluated using ECE and BSS.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Isotonic regression was performed on the validation cohort (2019–2020), while the test set and Kazakhstan inference sets were calibrated by isotonic regression.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Calibration data were mainly gathered from high-income countries, which might lead to domain shift when transferring the calibration data to Kazakhstan's dataset; this can be mitigated by the post-Soviet cluster, considering the similarities in the macro-feature space.</w:t>
      </w:r>
    </w:p>
    <w:p w14:paraId="7C9B7EE8">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2.5.3 Pairwise Model Comparison Method</w:t>
      </w:r>
    </w:p>
    <w:p w14:paraId="469DFA74">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Six paired comparisons of AUCs were performed between the four candidate models using the DeLong test</w:t>
      </w:r>
      <w:r>
        <w:rPr>
          <w:rStyle w:val="26"/>
          <w:rFonts w:hint="default" w:ascii="Times New Roman" w:hAnsi="Times New Roman" w:cs="Times New Roman"/>
          <w:sz w:val="24"/>
          <w:szCs w:val="24"/>
          <w:vertAlign w:val="superscript"/>
          <w:lang w:val="en-US"/>
        </w:rPr>
        <w:t>19</w:t>
      </w:r>
      <w:r>
        <w:rPr>
          <w:rStyle w:val="26"/>
          <w:rFonts w:hint="default" w:ascii="Times New Roman" w:hAnsi="Times New Roman" w:cs="Times New Roman"/>
          <w:sz w:val="24"/>
          <w:szCs w:val="24"/>
          <w:lang w:val="en-US"/>
        </w:rPr>
        <w: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main procedure was Benjamini-Hochberg FDR correction: a collection of 6 raw p-values (one for each test) was assembled, and each p-value was corrected for FDR using the standard step-up procedure (p-values were ranked, and each was compared to the modified critical value 0.05 × (i/6), where i is the rank).</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 xml:space="preserve">At </w:t>
      </w:r>
      <w:r>
        <w:rPr>
          <w:rStyle w:val="26"/>
          <w:rFonts w:hint="default" w:ascii="Times New Roman" w:hAnsi="Times New Roman" w:cs="Times New Roman"/>
          <w:sz w:val="24"/>
          <w:szCs w:val="24"/>
        </w:rPr>
        <w:t>α</w:t>
      </w:r>
      <w:r>
        <w:rPr>
          <w:rStyle w:val="26"/>
          <w:rFonts w:hint="default" w:ascii="Times New Roman" w:hAnsi="Times New Roman" w:cs="Times New Roman"/>
          <w:sz w:val="24"/>
          <w:szCs w:val="24"/>
          <w:lang w:val="en-US"/>
        </w:rPr>
        <w:t xml:space="preserve"> = 0.05, significance was determined based on the corrected p-value.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For a full picture, Bonferroni-corrected p-values (typically a conservative correction with a large n) are also reported</w:t>
      </w:r>
      <w:r>
        <w:rPr>
          <w:rStyle w:val="26"/>
          <w:rFonts w:hint="default" w:ascii="Times New Roman" w:hAnsi="Times New Roman" w:cs="Times New Roman"/>
          <w:sz w:val="24"/>
          <w:szCs w:val="24"/>
          <w:lang w:val="en-US"/>
        </w:rPr>
        <w:t xml:space="preserve"> along with Benjamini-Hochberg FDR correction.</w:t>
      </w:r>
    </w:p>
    <w:p w14:paraId="5184D961">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2.5.4 Validation Methods</w:t>
      </w:r>
    </w:p>
    <w:p w14:paraId="560BAC51">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For geographic generalization testing, we utilized LOCO cross-validation (with early stopping during the years 2019–2020) and four-country hold-out testing (in which each of the four countries had no data in the training set and no data from the held-out set were used for early stopping, and each country was held out separately to test the models with its 100% dataset).</w:t>
      </w:r>
    </w:p>
    <w:p w14:paraId="1EDF6AFD">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A temporal robustness evaluation technique was adopted: rolling-origin (expanding-window) cross-validation.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training set consisted of all data up to the year specified, and the validation set consisted of data from the following year.</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Thus, validation data were always in the future relative to the training data (≤2016 → 2017, ≤2017 → 2018, ≤2018 → 2019, ≤2019 → 2020).</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leakage-safe discipline of the main pipeline was followed: parameters (imputation, scale_pos_weight, isotonic calibration) were re-derived using the training data from each fold, and early stopping was applied to an inner subset of the training years, not the validation year.</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Discrimination (AUC, AUPRC) was computed from raw scores, while calibration-dependent measures were computed from probabilities after isotonic calibration.</w:t>
      </w:r>
    </w:p>
    <w:p w14:paraId="7E9C111B">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Spearman's rank correlation analysis was used to examine the trend in predicted resistance in Kazakhstan, with false-discovery rate (FDR) correction based on the Benjamini-Hochberg procedure at the organism level (2017–2023) for the six pathogens.</w:t>
      </w:r>
    </w:p>
    <w:p w14:paraId="4FD05E5C">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2.5.5 Feature Analysis Methods</w:t>
      </w:r>
    </w:p>
    <w:p w14:paraId="28ECC8F8">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Feature importance was computed for the CatBoost model using the PredictionValuesChange metric, while SHAP values were computed on the stratified test set (n = 5,000) using TreeExplainer</w:t>
      </w:r>
      <w:r>
        <w:rPr>
          <w:rStyle w:val="26"/>
          <w:rFonts w:hint="default" w:ascii="Times New Roman" w:hAnsi="Times New Roman" w:cs="Times New Roman"/>
          <w:sz w:val="24"/>
          <w:szCs w:val="24"/>
          <w:vertAlign w:val="superscript"/>
          <w:lang w:val="en-US"/>
        </w:rPr>
        <w:t>20</w:t>
      </w:r>
      <w:r>
        <w:rPr>
          <w:rStyle w:val="26"/>
          <w:rFonts w:hint="default" w:ascii="Times New Roman" w:hAnsi="Times New Roman" w:cs="Times New Roman"/>
          <w:sz w:val="24"/>
          <w:szCs w:val="24"/>
          <w:lang w:val="en-US"/>
        </w:rPr>
        <w: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Note that the two measures can yield different rankings when there is temporal correlation among features: PredictionValuesChange measures the difference across all predictions, and SHAP measures the marginal contribution of each feature.</w:t>
      </w:r>
    </w:p>
    <w:p w14:paraId="032888DD">
      <w:pPr>
        <w:pStyle w:val="13"/>
        <w:spacing w:line="240" w:lineRule="auto"/>
        <w:rPr>
          <w:rFonts w:hint="default" w:ascii="Times New Roman" w:hAnsi="Times New Roman" w:cs="Times New Roman"/>
          <w:sz w:val="24"/>
          <w:szCs w:val="24"/>
          <w:lang w:val="en-US"/>
        </w:rPr>
      </w:pPr>
      <w:r>
        <w:rPr>
          <w:rStyle w:val="11"/>
          <w:rFonts w:hint="default" w:ascii="Times New Roman" w:hAnsi="Times New Roman" w:cs="Times New Roman"/>
          <w:b/>
          <w:bCs/>
          <w:sz w:val="24"/>
          <w:szCs w:val="24"/>
          <w:lang w:val="en-US"/>
        </w:rPr>
        <w:t> </w:t>
      </w:r>
      <w:r>
        <w:rPr>
          <w:rStyle w:val="14"/>
          <w:rFonts w:hint="default" w:ascii="Times New Roman" w:hAnsi="Times New Roman" w:cs="Times New Roman"/>
          <w:sz w:val="24"/>
          <w:szCs w:val="24"/>
          <w:lang w:val="en-US"/>
        </w:rPr>
        <w:t>2.5.6 Face Validity Method</w:t>
      </w:r>
    </w:p>
    <w:p w14:paraId="3F64312C">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The primary model's calibrated resistance probabilities were compared with the resistance rates reported in published clinical studies in Kazakhstan to check face validity.</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Antibiotic–pathogen combinations were chosen that were reported with explicit resistance percentages for the pathogen with clear endpoints, and combinations of these antibiotic–pathogen relations were present in the inference grid.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For each of the combinations, the predicted value was the average calibrated probability for the years in question.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There was an expected downward bias because the model estimates national-level resistance while the studies reported higher-acuity hospitalized subpopulations, which necessitated a directional interpretation of the comparisons with an absolute deviation of more than 25 percentage points recorded as a substantive difference.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Since there were a limited number of similar combinations (n = 4), a formal statistical test was not used.</w:t>
      </w:r>
    </w:p>
    <w:p w14:paraId="1AAD1637">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2.6 Data Availability</w:t>
      </w:r>
    </w:p>
    <w:p w14:paraId="349679BA">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The data and code reported in this article are made available on Zenodo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"https://doi.org/10.5281/zenodo.20727165" \t "_blank" </w:instrText>
      </w:r>
      <w:r>
        <w:rPr>
          <w:rFonts w:hint="default" w:ascii="Times New Roman" w:hAnsi="Times New Roman" w:cs="Times New Roman"/>
          <w:sz w:val="24"/>
          <w:szCs w:val="24"/>
        </w:rPr>
        <w:fldChar w:fldCharType="separate"/>
      </w:r>
      <w:r>
        <w:rPr>
          <w:rStyle w:val="26"/>
          <w:rFonts w:hint="default" w:ascii="Times New Roman" w:hAnsi="Times New Roman" w:cs="Times New Roman"/>
          <w:color w:val="0000FF"/>
          <w:sz w:val="24"/>
          <w:szCs w:val="24"/>
          <w:u w:val="single"/>
          <w:lang w:val="en-US"/>
        </w:rPr>
        <w:t>https://doi.org/10.5281/zenodo.20727165</w:t>
      </w:r>
      <w:r>
        <w:rPr>
          <w:rStyle w:val="26"/>
          <w:rFonts w:hint="default" w:ascii="Times New Roman" w:hAnsi="Times New Roman" w:cs="Times New Roman"/>
          <w:color w:val="0000FF"/>
          <w:sz w:val="24"/>
          <w:szCs w:val="24"/>
          <w:u w:val="single"/>
          <w:lang w:val="en-US"/>
        </w:rPr>
        <w:fldChar w:fldCharType="end"/>
      </w:r>
      <w:r>
        <w:rPr>
          <w:rStyle w:val="26"/>
          <w:rFonts w:hint="default" w:ascii="Times New Roman" w:hAnsi="Times New Roman" w:cs="Times New Roman"/>
          <w:sz w:val="24"/>
          <w:szCs w:val="24"/>
          <w:lang w:val="en-US"/>
        </w:rPr>
        <w: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deposit contains a single reproducibility notebook implementing the full pipeline, together with the supplementary reference tables (reference_tables.pdf: organism-specific MIC breakpoints, antibiotic-to-class and Kazakhstan antibiotic name mappings, and per-model hyperparameters) and the complete antibiotic–organism–year resistance-probability grid for Kazakhstan</w:t>
      </w:r>
      <w:r>
        <w:rPr>
          <w:rFonts w:hint="default" w:ascii="Times New Roman" w:hAnsi="Times New Roman" w:cs="Times New Roman"/>
          <w:sz w:val="24"/>
          <w:szCs w:val="24"/>
          <w:lang w:val="en-US"/>
        </w:rPr>
        <w:t xml:space="preserve"> (kz_predictions.csv). </w:t>
      </w:r>
      <w:r>
        <w:rPr>
          <w:rStyle w:val="26"/>
          <w:rFonts w:hint="default" w:ascii="Times New Roman" w:hAnsi="Times New Roman" w:cs="Times New Roman"/>
          <w:sz w:val="24"/>
          <w:szCs w:val="24"/>
          <w:lang w:val="en-US"/>
        </w:rPr>
        <w:t>The global isolate-level training data (ATLAS: Pfizer; SIDERO-WT: Shionogi; KEYSTONE) are governed by Data Use Agreements with Vivli and cannot be redistributed freely; reproducing the full training pipeline therefore requires a separate data-access application through Vivli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"https://vivli.org" \t "_blank" </w:instrText>
      </w:r>
      <w:r>
        <w:rPr>
          <w:rFonts w:hint="default" w:ascii="Times New Roman" w:hAnsi="Times New Roman" w:cs="Times New Roman"/>
          <w:sz w:val="24"/>
          <w:szCs w:val="24"/>
        </w:rPr>
        <w:fldChar w:fldCharType="separate"/>
      </w:r>
      <w:r>
        <w:rPr>
          <w:rStyle w:val="26"/>
          <w:rFonts w:hint="default" w:ascii="Times New Roman" w:hAnsi="Times New Roman" w:cs="Times New Roman"/>
          <w:color w:val="0000FF"/>
          <w:sz w:val="24"/>
          <w:szCs w:val="24"/>
          <w:u w:val="single"/>
          <w:lang w:val="en-US"/>
        </w:rPr>
        <w:t>https://vivli.org</w:t>
      </w:r>
      <w:r>
        <w:rPr>
          <w:rStyle w:val="26"/>
          <w:rFonts w:hint="default" w:ascii="Times New Roman" w:hAnsi="Times New Roman" w:cs="Times New Roman"/>
          <w:color w:val="0000FF"/>
          <w:sz w:val="24"/>
          <w:szCs w:val="24"/>
          <w:u w:val="single"/>
          <w:lang w:val="en-US"/>
        </w:rPr>
        <w:fldChar w:fldCharType="end"/>
      </w:r>
      <w:r>
        <w:rPr>
          <w:rStyle w:val="26"/>
          <w:rFonts w:hint="default" w:ascii="Times New Roman" w:hAnsi="Times New Roman" w:cs="Times New Roman"/>
          <w:sz w:val="24"/>
          <w:szCs w:val="24"/>
          <w:lang w:val="en-US"/>
        </w:rPr>
        <w:t>).</w:t>
      </w:r>
    </w:p>
    <w:p w14:paraId="2884EEED">
      <w:pPr>
        <w:pStyle w:val="13"/>
        <w:spacing w:line="240" w:lineRule="auto"/>
        <w:rPr>
          <w:rFonts w:hint="default" w:ascii="Times New Roman" w:hAnsi="Times New Roman" w:cs="Times New Roman"/>
          <w:sz w:val="24"/>
          <w:szCs w:val="24"/>
        </w:rPr>
      </w:pPr>
      <w:r>
        <w:rPr>
          <w:rStyle w:val="14"/>
          <w:rFonts w:hint="default" w:ascii="Times New Roman" w:hAnsi="Times New Roman" w:cs="Times New Roman"/>
          <w:sz w:val="24"/>
          <w:szCs w:val="24"/>
        </w:rPr>
        <w:t>2.7 Ethics</w:t>
      </w:r>
    </w:p>
    <w:p w14:paraId="4E279A51">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The ethical review was carried out by Assistant Professor Dauren Ayazbayev, PhD, from SDU University – Department of Information Systems.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study did not involve any human subjects, nor did it involve the collection of any biological specimens, access to identifiable patient data, or, if such data were used, the keeping of any identifiable data that could allow identification of patients in the course of the study; therefore, it was determined exempt from IRB review.</w:t>
      </w:r>
    </w:p>
    <w:p w14:paraId="31429E95">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Results</w:t>
      </w:r>
    </w:p>
    <w:p w14:paraId="185D84FB">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3.1 Data Overview</w:t>
      </w:r>
    </w:p>
    <w:p w14:paraId="6EA04A90">
      <w:pPr>
        <w:pStyle w:val="13"/>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final dataset comprised 11,275,172 susceptibility results indicating whether an organism was resistant or susceptible to a given antibiotic, spanning 85 countries over 19 years (2004–2023). </w:t>
      </w:r>
      <w:r>
        <w:rPr>
          <w:rStyle w:val="26"/>
          <w:rFonts w:hint="default" w:ascii="Times New Roman" w:hAnsi="Times New Roman" w:cs="Times New Roman"/>
          <w:sz w:val="24"/>
          <w:szCs w:val="24"/>
          <w:lang w:val="en-US"/>
        </w:rPr>
        <w:t>Resistant results accounted for 19.8% (2,236,071 resistant samples out of 11,275,172).</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Under the temporal split, there were 7,203,908 training records (≤2018, 18.9% resistant), 1,601,179 validation records (2019–2020, 21.6% resistant), and 2,470,085 hold-out test records (&gt;2020, 21.4% resistant).</w:t>
      </w:r>
    </w:p>
    <w:p w14:paraId="6CCDBA31">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3.2 Model Performance</w:t>
      </w:r>
    </w:p>
    <w:p w14:paraId="1D516B0D">
      <w:pPr>
        <w:pStyle w:val="13"/>
        <w:spacing w:line="240" w:lineRule="auto"/>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On the hold-out dataset (&gt;2020), LightGBM attained the highest AUC (0.8512), and CatBoost the highest AUPRC (0.6496) and Recall@0.2 (0.7970).</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selected final model was CatBoost, which achieved the pre-specified Recall score and AUPRC (Section 2.5.1).</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CatBoost's test values for AUC, AUPRC, and F1@0.2 were 0.8490, 0.6496, and 0.5612, respectively (Table 2).</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In the pairwise comparisons, after Benjamini–Hochberg correction of p-values from the DeLong test, all six pairwise AUC differences were statistically significant; however, the CatBoost–LightGBM difference was significant but negligible in magnitude (</w:t>
      </w:r>
      <w:r>
        <w:rPr>
          <w:rStyle w:val="26"/>
          <w:rFonts w:hint="default" w:ascii="Times New Roman" w:hAnsi="Times New Roman" w:cs="Times New Roman"/>
          <w:sz w:val="24"/>
          <w:szCs w:val="24"/>
        </w:rPr>
        <w:t>Δ</w:t>
      </w:r>
      <w:r>
        <w:rPr>
          <w:rStyle w:val="26"/>
          <w:rFonts w:hint="default" w:ascii="Times New Roman" w:hAnsi="Times New Roman" w:cs="Times New Roman"/>
          <w:sz w:val="24"/>
          <w:szCs w:val="24"/>
          <w:lang w:val="en-US"/>
        </w:rPr>
        <w:t>AUC = 0.0022).</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Both gradient-boosted models were significantly better than Random Forest and Logistic Regression (p_BH &lt; 0.001).</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Isotonic regression improved ECE for CatBoost from 0.1780 to 0.0120, raised the Brier skill score from −0.0017 (pre-calibration) to 0.3131, and did not change AUC (Table 2).</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915"/>
        <w:gridCol w:w="1915"/>
        <w:gridCol w:w="1915"/>
        <w:gridCol w:w="1916"/>
      </w:tblGrid>
      <w:tr w14:paraId="5FC6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B764FD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Metric</w:t>
            </w:r>
          </w:p>
        </w:tc>
        <w:tc>
          <w:tcPr>
            <w:tcW w:w="1915" w:type="dxa"/>
          </w:tcPr>
          <w:p w14:paraId="4806A428">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CatBoost</w:t>
            </w:r>
          </w:p>
        </w:tc>
        <w:tc>
          <w:tcPr>
            <w:tcW w:w="1915" w:type="dxa"/>
          </w:tcPr>
          <w:p w14:paraId="7D576333">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LightGBM</w:t>
            </w:r>
          </w:p>
        </w:tc>
        <w:tc>
          <w:tcPr>
            <w:tcW w:w="1915" w:type="dxa"/>
          </w:tcPr>
          <w:p w14:paraId="2EDB3CE5">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Random Forest</w:t>
            </w:r>
          </w:p>
        </w:tc>
        <w:tc>
          <w:tcPr>
            <w:tcW w:w="1916" w:type="dxa"/>
          </w:tcPr>
          <w:p w14:paraId="30B00E84">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Logistic Regression</w:t>
            </w:r>
          </w:p>
        </w:tc>
      </w:tr>
      <w:tr w14:paraId="1034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94F5C4F">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AUC</w:t>
            </w:r>
          </w:p>
        </w:tc>
        <w:tc>
          <w:tcPr>
            <w:tcW w:w="1915" w:type="dxa"/>
          </w:tcPr>
          <w:p w14:paraId="04303776">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0.8490</w:t>
            </w:r>
          </w:p>
        </w:tc>
        <w:tc>
          <w:tcPr>
            <w:tcW w:w="1915" w:type="dxa"/>
          </w:tcPr>
          <w:p w14:paraId="509B1354">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0.8512</w:t>
            </w:r>
          </w:p>
        </w:tc>
        <w:tc>
          <w:tcPr>
            <w:tcW w:w="1915" w:type="dxa"/>
          </w:tcPr>
          <w:p w14:paraId="4E245293">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0.8199</w:t>
            </w:r>
          </w:p>
        </w:tc>
        <w:tc>
          <w:tcPr>
            <w:tcW w:w="1916" w:type="dxa"/>
          </w:tcPr>
          <w:p w14:paraId="50E30353">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0.7940</w:t>
            </w:r>
          </w:p>
        </w:tc>
      </w:tr>
      <w:tr w14:paraId="6228D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6583BF4">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AUPRC</w:t>
            </w:r>
          </w:p>
        </w:tc>
        <w:tc>
          <w:tcPr>
            <w:tcW w:w="1915" w:type="dxa"/>
          </w:tcPr>
          <w:p w14:paraId="32ED6F43">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0.6496</w:t>
            </w:r>
          </w:p>
        </w:tc>
        <w:tc>
          <w:tcPr>
            <w:tcW w:w="1915" w:type="dxa"/>
          </w:tcPr>
          <w:p w14:paraId="0F5ED64C">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0.6481</w:t>
            </w:r>
          </w:p>
        </w:tc>
        <w:tc>
          <w:tcPr>
            <w:tcW w:w="1915" w:type="dxa"/>
          </w:tcPr>
          <w:p w14:paraId="5CBE1D0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0.5771</w:t>
            </w:r>
          </w:p>
        </w:tc>
        <w:tc>
          <w:tcPr>
            <w:tcW w:w="1916" w:type="dxa"/>
          </w:tcPr>
          <w:p w14:paraId="1B46F9FC">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0.5269</w:t>
            </w:r>
          </w:p>
        </w:tc>
      </w:tr>
      <w:tr w14:paraId="6F4B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A92D3F0">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Brier</w:t>
            </w:r>
          </w:p>
        </w:tc>
        <w:tc>
          <w:tcPr>
            <w:tcW w:w="1915" w:type="dxa"/>
          </w:tcPr>
          <w:p w14:paraId="6ED9A974">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0.1155</w:t>
            </w:r>
          </w:p>
        </w:tc>
        <w:tc>
          <w:tcPr>
            <w:tcW w:w="1915" w:type="dxa"/>
          </w:tcPr>
          <w:p w14:paraId="313F7FC3">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0.1153</w:t>
            </w:r>
          </w:p>
        </w:tc>
        <w:tc>
          <w:tcPr>
            <w:tcW w:w="1915" w:type="dxa"/>
          </w:tcPr>
          <w:p w14:paraId="0EC0B5C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0.1255</w:t>
            </w:r>
          </w:p>
        </w:tc>
        <w:tc>
          <w:tcPr>
            <w:tcW w:w="1916" w:type="dxa"/>
          </w:tcPr>
          <w:p w14:paraId="5C603350">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0.1335</w:t>
            </w:r>
          </w:p>
        </w:tc>
      </w:tr>
      <w:tr w14:paraId="3F11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8DA5D56">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BSS</w:t>
            </w:r>
          </w:p>
        </w:tc>
        <w:tc>
          <w:tcPr>
            <w:tcW w:w="1915" w:type="dxa"/>
          </w:tcPr>
          <w:p w14:paraId="1C5C936B">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0.3131</w:t>
            </w:r>
          </w:p>
        </w:tc>
        <w:tc>
          <w:tcPr>
            <w:tcW w:w="1915" w:type="dxa"/>
          </w:tcPr>
          <w:p w14:paraId="18D44DBA">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0.3142</w:t>
            </w:r>
          </w:p>
        </w:tc>
        <w:tc>
          <w:tcPr>
            <w:tcW w:w="1915" w:type="dxa"/>
          </w:tcPr>
          <w:p w14:paraId="145CC3CB">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0.2537</w:t>
            </w:r>
          </w:p>
        </w:tc>
        <w:tc>
          <w:tcPr>
            <w:tcW w:w="1916" w:type="dxa"/>
          </w:tcPr>
          <w:p w14:paraId="1E81513B">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0.2061</w:t>
            </w:r>
          </w:p>
        </w:tc>
      </w:tr>
      <w:tr w14:paraId="5BB44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EA1737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ECE</w:t>
            </w:r>
          </w:p>
        </w:tc>
        <w:tc>
          <w:tcPr>
            <w:tcW w:w="1915" w:type="dxa"/>
          </w:tcPr>
          <w:p w14:paraId="59ECE7EB">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0.0120</w:t>
            </w:r>
          </w:p>
        </w:tc>
        <w:tc>
          <w:tcPr>
            <w:tcW w:w="1915" w:type="dxa"/>
          </w:tcPr>
          <w:p w14:paraId="25D4822D">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0.0122</w:t>
            </w:r>
          </w:p>
        </w:tc>
        <w:tc>
          <w:tcPr>
            <w:tcW w:w="1915" w:type="dxa"/>
          </w:tcPr>
          <w:p w14:paraId="3109513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0.0076</w:t>
            </w:r>
          </w:p>
        </w:tc>
        <w:tc>
          <w:tcPr>
            <w:tcW w:w="1916" w:type="dxa"/>
          </w:tcPr>
          <w:p w14:paraId="3AE7F5DA">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0.0135</w:t>
            </w:r>
          </w:p>
        </w:tc>
      </w:tr>
      <w:tr w14:paraId="7241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33DF48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Recall@0.2</w:t>
            </w:r>
          </w:p>
        </w:tc>
        <w:tc>
          <w:tcPr>
            <w:tcW w:w="1915" w:type="dxa"/>
          </w:tcPr>
          <w:p w14:paraId="0ED79CB6">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0.7970</w:t>
            </w:r>
          </w:p>
        </w:tc>
        <w:tc>
          <w:tcPr>
            <w:tcW w:w="1915" w:type="dxa"/>
          </w:tcPr>
          <w:p w14:paraId="05A2A120">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0.7822</w:t>
            </w:r>
          </w:p>
        </w:tc>
        <w:tc>
          <w:tcPr>
            <w:tcW w:w="1915" w:type="dxa"/>
          </w:tcPr>
          <w:p w14:paraId="6C49BEE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0.7376</w:t>
            </w:r>
          </w:p>
        </w:tc>
        <w:tc>
          <w:tcPr>
            <w:tcW w:w="1916" w:type="dxa"/>
          </w:tcPr>
          <w:p w14:paraId="37CA614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0.7411</w:t>
            </w:r>
          </w:p>
        </w:tc>
      </w:tr>
      <w:tr w14:paraId="5295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3EC1D08">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Prec@0.2</w:t>
            </w:r>
          </w:p>
        </w:tc>
        <w:tc>
          <w:tcPr>
            <w:tcW w:w="1915" w:type="dxa"/>
          </w:tcPr>
          <w:p w14:paraId="25EF268A">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0.4330</w:t>
            </w:r>
          </w:p>
        </w:tc>
        <w:tc>
          <w:tcPr>
            <w:tcW w:w="1915" w:type="dxa"/>
          </w:tcPr>
          <w:p w14:paraId="0AF0A8DA">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0.4447</w:t>
            </w:r>
          </w:p>
        </w:tc>
        <w:tc>
          <w:tcPr>
            <w:tcW w:w="1915" w:type="dxa"/>
          </w:tcPr>
          <w:p w14:paraId="456BD457">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0.4264</w:t>
            </w:r>
          </w:p>
        </w:tc>
        <w:tc>
          <w:tcPr>
            <w:tcW w:w="1916" w:type="dxa"/>
          </w:tcPr>
          <w:p w14:paraId="03A7387E">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0.3962</w:t>
            </w:r>
          </w:p>
        </w:tc>
      </w:tr>
      <w:tr w14:paraId="519ED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3AAB5E3">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F1@0.2</w:t>
            </w:r>
          </w:p>
        </w:tc>
        <w:tc>
          <w:tcPr>
            <w:tcW w:w="1915" w:type="dxa"/>
          </w:tcPr>
          <w:p w14:paraId="2FC93BE5">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0.5612</w:t>
            </w:r>
          </w:p>
        </w:tc>
        <w:tc>
          <w:tcPr>
            <w:tcW w:w="1915" w:type="dxa"/>
          </w:tcPr>
          <w:p w14:paraId="35A0186C">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0.5671</w:t>
            </w:r>
          </w:p>
        </w:tc>
        <w:tc>
          <w:tcPr>
            <w:tcW w:w="1915" w:type="dxa"/>
          </w:tcPr>
          <w:p w14:paraId="3A15E72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0.5404</w:t>
            </w:r>
          </w:p>
        </w:tc>
        <w:tc>
          <w:tcPr>
            <w:tcW w:w="1916" w:type="dxa"/>
          </w:tcPr>
          <w:p w14:paraId="7E193583">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0.5163</w:t>
            </w:r>
          </w:p>
        </w:tc>
      </w:tr>
      <w:tr w14:paraId="37E96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7AB2558">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Recall@0.5</w:t>
            </w:r>
          </w:p>
        </w:tc>
        <w:tc>
          <w:tcPr>
            <w:tcW w:w="1915" w:type="dxa"/>
          </w:tcPr>
          <w:p w14:paraId="37790660">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0.4098</w:t>
            </w:r>
          </w:p>
        </w:tc>
        <w:tc>
          <w:tcPr>
            <w:tcW w:w="1915" w:type="dxa"/>
          </w:tcPr>
          <w:p w14:paraId="4A53394B">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0.4139</w:t>
            </w:r>
          </w:p>
        </w:tc>
        <w:tc>
          <w:tcPr>
            <w:tcW w:w="1915" w:type="dxa"/>
          </w:tcPr>
          <w:p w14:paraId="436A513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0.3255</w:t>
            </w:r>
          </w:p>
        </w:tc>
        <w:tc>
          <w:tcPr>
            <w:tcW w:w="1916" w:type="dxa"/>
          </w:tcPr>
          <w:p w14:paraId="3B42D0BF">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0.2763</w:t>
            </w:r>
          </w:p>
        </w:tc>
      </w:tr>
      <w:tr w14:paraId="3971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544805D">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Prec@0.5</w:t>
            </w:r>
          </w:p>
        </w:tc>
        <w:tc>
          <w:tcPr>
            <w:tcW w:w="1915" w:type="dxa"/>
          </w:tcPr>
          <w:p w14:paraId="03CA341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0.7222</w:t>
            </w:r>
          </w:p>
        </w:tc>
        <w:tc>
          <w:tcPr>
            <w:tcW w:w="1915" w:type="dxa"/>
          </w:tcPr>
          <w:p w14:paraId="294B40EE">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0.7082</w:t>
            </w:r>
          </w:p>
        </w:tc>
        <w:tc>
          <w:tcPr>
            <w:tcW w:w="1915" w:type="dxa"/>
          </w:tcPr>
          <w:p w14:paraId="5EBA3367">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0.7032</w:t>
            </w:r>
          </w:p>
        </w:tc>
        <w:tc>
          <w:tcPr>
            <w:tcW w:w="1916" w:type="dxa"/>
          </w:tcPr>
          <w:p w14:paraId="62CD4940">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0.6523</w:t>
            </w:r>
          </w:p>
        </w:tc>
      </w:tr>
      <w:tr w14:paraId="1D04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755DA1A">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F1@0.5</w:t>
            </w:r>
          </w:p>
        </w:tc>
        <w:tc>
          <w:tcPr>
            <w:tcW w:w="1915" w:type="dxa"/>
          </w:tcPr>
          <w:p w14:paraId="2D622635">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0.5229</w:t>
            </w:r>
          </w:p>
        </w:tc>
        <w:tc>
          <w:tcPr>
            <w:tcW w:w="1915" w:type="dxa"/>
          </w:tcPr>
          <w:p w14:paraId="0A08B546">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0.5225</w:t>
            </w:r>
          </w:p>
        </w:tc>
        <w:tc>
          <w:tcPr>
            <w:tcW w:w="1915" w:type="dxa"/>
          </w:tcPr>
          <w:p w14:paraId="1CF0D89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0.4450</w:t>
            </w:r>
          </w:p>
        </w:tc>
        <w:tc>
          <w:tcPr>
            <w:tcW w:w="1916" w:type="dxa"/>
          </w:tcPr>
          <w:p w14:paraId="6C5FC9A4">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0.3882</w:t>
            </w:r>
          </w:p>
        </w:tc>
      </w:tr>
    </w:tbl>
    <w:p w14:paraId="088D151E">
      <w:pPr>
        <w:spacing w:before="240" w:after="240" w:line="240" w:lineRule="auto"/>
        <w:rPr>
          <w:rFonts w:hint="default" w:ascii="Times New Roman" w:hAnsi="Times New Roman" w:eastAsia="Times New Roman" w:cs="Times New Roman"/>
          <w:i w:val="0"/>
          <w:iCs w:val="0"/>
          <w:sz w:val="24"/>
          <w:szCs w:val="24"/>
          <w:highlight w:val="white"/>
        </w:rPr>
      </w:pPr>
      <w:r>
        <w:rPr>
          <w:rFonts w:hint="default" w:ascii="Times New Roman" w:hAnsi="Times New Roman" w:eastAsia="Times New Roman" w:cs="Times New Roman"/>
          <w:b/>
          <w:bCs/>
          <w:i w:val="0"/>
          <w:iCs w:val="0"/>
          <w:sz w:val="24"/>
          <w:szCs w:val="24"/>
          <w:highlight w:val="white"/>
        </w:rPr>
        <w:t>Table 2.</w:t>
      </w:r>
      <w:r>
        <w:rPr>
          <w:rFonts w:hint="default" w:ascii="Times New Roman" w:hAnsi="Times New Roman" w:eastAsia="Times New Roman" w:cs="Times New Roman"/>
          <w:i w:val="0"/>
          <w:iCs w:val="0"/>
          <w:sz w:val="24"/>
          <w:szCs w:val="24"/>
          <w:highlight w:val="white"/>
        </w:rPr>
        <w:t xml:space="preserve"> Model performance and calibration on the hold-out test set (&gt;2020). Metrics are computed on isotonic-calibrated probabilities. @0.2 and @0.5 denote the classification threshold applied to the calibrated probability: 0.2 is the clinical actionability threshold (primary operating point); 0.5 is the conventional reference threshold.</w:t>
      </w:r>
    </w:p>
    <w:p w14:paraId="5DF0818E">
      <w:pPr>
        <w:spacing w:before="240" w:after="240" w:line="240" w:lineRule="auto"/>
        <w:rPr>
          <w:rFonts w:hint="default" w:ascii="Times New Roman" w:hAnsi="Times New Roman" w:eastAsia="Times New Roman" w:cs="Times New Roman"/>
          <w:i/>
          <w:iCs/>
          <w:sz w:val="24"/>
          <w:szCs w:val="24"/>
          <w:highlight w:val="white"/>
        </w:rPr>
      </w:pPr>
      <w:r>
        <w:rPr>
          <w:rFonts w:hint="default" w:ascii="Times New Roman" w:hAnsi="Times New Roman" w:eastAsia="SimSun" w:cs="Times New Roman"/>
          <w:sz w:val="24"/>
          <w:szCs w:val="24"/>
        </w:rPr>
        <w:t>Four-fold rolling</w:t>
      </w:r>
      <w:r>
        <w:rPr>
          <w:rFonts w:hint="default" w:ascii="Times New Roman" w:hAnsi="Times New Roman" w:eastAsia="SimSun" w:cs="Times New Roman"/>
          <w:sz w:val="24"/>
          <w:szCs w:val="24"/>
          <w:lang w:val="ru-RU"/>
        </w:rPr>
        <w:t xml:space="preserve"> </w:t>
      </w:r>
      <w:r>
        <w:rPr>
          <w:rFonts w:hint="default" w:ascii="Times New Roman" w:hAnsi="Times New Roman" w:eastAsia="SimSun" w:cs="Times New Roman"/>
          <w:sz w:val="24"/>
          <w:szCs w:val="24"/>
        </w:rPr>
        <w:t>temporal cross-validation</w:t>
      </w:r>
      <w:r>
        <w:rPr>
          <w:rFonts w:hint="default" w:ascii="Times New Roman" w:hAnsi="Times New Roman" w:eastAsia="SimSun" w:cs="Times New Roman"/>
          <w:sz w:val="24"/>
          <w:szCs w:val="24"/>
          <w:lang w:val="ru-RU"/>
        </w:rPr>
        <w:t xml:space="preserve"> (</w:t>
      </w:r>
      <w:r>
        <w:rPr>
          <w:rFonts w:hint="default" w:ascii="Times New Roman" w:hAnsi="Times New Roman" w:eastAsia="SimSun" w:cs="Times New Roman"/>
          <w:sz w:val="24"/>
          <w:szCs w:val="24"/>
          <w:lang w:val="en-US"/>
        </w:rPr>
        <w:t>rTCV)</w:t>
      </w:r>
      <w:r>
        <w:rPr>
          <w:rFonts w:hint="default" w:ascii="Times New Roman" w:hAnsi="Times New Roman" w:eastAsia="SimSun" w:cs="Times New Roman"/>
          <w:sz w:val="24"/>
          <w:szCs w:val="24"/>
        </w:rPr>
        <w:t xml:space="preserve"> yielded a mean AUC of 0.870 ± 0.016, mean AUPRC of 0.681 ± 0.006, and mean F1@0.2 of 0.585 ± 0.006. The cross-validation AUC is slightly higher than the estimate obtained from the independent hold-out (0.870 vs 0.849). At the 0.20 threshold, the confusion matrix (Figure 2a) recorded 1,390,502 true negatives, 551,277 false positives, 107,253 false negatives, and 421,053 true positives. The ROC curve is shown in Figure 2b (AUC = 0.849) and the precision–recall curve in Figure 2c (AUPRC = 0.650; baseline = 0.214).</w:t>
      </w:r>
    </w:p>
    <w:p w14:paraId="41576823">
      <w:pPr>
        <w:spacing w:before="240" w:after="240" w:line="240" w:lineRule="auto"/>
        <w:jc w:val="left"/>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lang w:val="ru-RU"/>
        </w:rPr>
        <w:drawing>
          <wp:inline distT="114300" distB="114300" distL="114300" distR="114300">
            <wp:extent cx="5943600" cy="4749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5943600" cy="4749800"/>
                    </a:xfrm>
                    <a:prstGeom prst="rect">
                      <a:avLst/>
                    </a:prstGeom>
                  </pic:spPr>
                </pic:pic>
              </a:graphicData>
            </a:graphic>
          </wp:inline>
        </w:drawing>
      </w:r>
    </w:p>
    <w:p w14:paraId="2C2E0A73">
      <w:pPr>
        <w:pStyle w:val="13"/>
        <w:spacing w:line="240" w:lineRule="auto"/>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Figure 2.</w:t>
      </w:r>
      <w:r>
        <w:rPr>
          <w:rFonts w:hint="default" w:ascii="Times New Roman" w:hAnsi="Times New Roman" w:eastAsia="SimSun" w:cs="Times New Roman"/>
          <w:sz w:val="24"/>
          <w:szCs w:val="24"/>
        </w:rPr>
        <w:t xml:space="preserve"> Global hold-out evaluation of the CatBoost classifier (test isolates from 2021 onward). (a) Confusion matrix at the clinical actionability threshold. (b) ROC curve. (c) Precision–recall curve with prevalence baseline. (d) SHAP beeswarm ordered by mean absolute SHAP value; colour denotes feature value (blue = low, red = high). Metrics computed on isotonic-calibrated probabilities.</w:t>
      </w:r>
    </w:p>
    <w:p w14:paraId="7A650DEB">
      <w:pPr>
        <w:pStyle w:val="13"/>
        <w:spacing w:line="240"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3.3 </w:t>
      </w:r>
      <w:r>
        <w:rPr>
          <w:rStyle w:val="26"/>
          <w:rFonts w:hint="default" w:ascii="Times New Roman" w:hAnsi="Times New Roman" w:cs="Times New Roman"/>
          <w:b/>
          <w:bCs/>
          <w:sz w:val="24"/>
          <w:szCs w:val="24"/>
          <w:lang w:val="en-US"/>
        </w:rPr>
        <w:t>Feature Analysis</w:t>
      </w:r>
      <w:r>
        <w:rPr>
          <w:rFonts w:hint="default" w:ascii="Times New Roman" w:hAnsi="Times New Roman" w:cs="Times New Roman"/>
          <w:sz w:val="24"/>
          <w:szCs w:val="24"/>
          <w:lang w:val="en-US"/>
        </w:rPr>
        <w:br w:type="textWrapping"/>
      </w:r>
      <w:r>
        <w:rPr>
          <w:rStyle w:val="26"/>
          <w:rFonts w:hint="default" w:ascii="Times New Roman" w:hAnsi="Times New Roman" w:cs="Times New Roman"/>
          <w:sz w:val="24"/>
          <w:szCs w:val="24"/>
          <w:lang w:val="en-US"/>
        </w:rPr>
        <w:t>Organism (35.9%) and antibiotic (27.3%) were the most important features, with the three categorical features (organism, antibiotic, and antibiotic class, 11.8%) contributing 75.0% of total predictive importance.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most important numeric measures are year (4.5%), sanitation access (4.4%), log GDP per capita (3.1%), and per-class antibiotic consumption (log consumption DDD per class, 2.9%).</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None of the macroeconomic features were individually sufficient for the test AUC, as their removal did not impact the score by more than 0.0043, and their elimination (retaining only numerical features) brought the discriminative score to 0.618 from 0.848.</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As seen from the SHAP analysis in Figure 2d, on the one hand log consumption DDD was concentrated around zero and had a small positive trend, and on the other hand, higher values of log GDP per capita and health expenditure were correlated with negative SHAP values.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difference between the two rankings of the temporal features, year, results from the difference between the two methods described in Section 2.5.5.</w:t>
      </w:r>
    </w:p>
    <w:p w14:paraId="21A7000E">
      <w:pPr>
        <w:pStyle w:val="13"/>
        <w:spacing w:line="240"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3.4 </w:t>
      </w:r>
      <w:r>
        <w:rPr>
          <w:rStyle w:val="26"/>
          <w:rFonts w:hint="default" w:ascii="Times New Roman" w:hAnsi="Times New Roman" w:cs="Times New Roman"/>
          <w:b/>
          <w:bCs/>
          <w:sz w:val="24"/>
          <w:szCs w:val="24"/>
          <w:lang w:val="en-US"/>
        </w:rPr>
        <w:t>Validation Results</w:t>
      </w:r>
      <w:r>
        <w:rPr>
          <w:rFonts w:hint="default" w:ascii="Times New Roman" w:hAnsi="Times New Roman" w:cs="Times New Roman"/>
          <w:sz w:val="24"/>
          <w:szCs w:val="24"/>
          <w:lang w:val="en-US"/>
        </w:rPr>
        <w:br w:type="textWrapping"/>
      </w:r>
      <w:r>
        <w:rPr>
          <w:rStyle w:val="26"/>
          <w:rFonts w:hint="default" w:ascii="Times New Roman" w:hAnsi="Times New Roman" w:cs="Times New Roman"/>
          <w:sz w:val="24"/>
          <w:szCs w:val="24"/>
          <w:lang w:val="en-US"/>
        </w:rPr>
        <w:t xml:space="preserve">The results of cluster-based and LOCO validations are included in Table </w:t>
      </w:r>
      <w:r>
        <w:rPr>
          <w:rStyle w:val="26"/>
          <w:rFonts w:hint="default" w:ascii="Times New Roman" w:hAnsi="Times New Roman" w:cs="Times New Roman"/>
          <w:sz w:val="24"/>
          <w:szCs w:val="24"/>
          <w:lang w:val="en-US"/>
        </w:rPr>
        <w:t>3</w:t>
      </w:r>
      <w:r>
        <w:rPr>
          <w:rStyle w:val="26"/>
          <w:rFonts w:hint="default" w:ascii="Times New Roman" w:hAnsi="Times New Roman" w:cs="Times New Roman"/>
          <w:sz w:val="24"/>
          <w:szCs w:val="24"/>
          <w:lang w:val="en-US"/>
        </w:rPr>
        <w: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Although the post-Soviet model uses only 2.5% of the training data, it achieved the highest AUC (0.8979) with only a marginal difference in its Brier score after isotonic calibration (0.1389 to 0.1186).</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global LOCO model (all countries except Kazakhstan) achieved an AUC of 0.8812 and an AUPRC of 0.7050.</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 xml:space="preserve">For country hold-out testing (Table </w:t>
      </w:r>
      <w:r>
        <w:rPr>
          <w:rStyle w:val="26"/>
          <w:rFonts w:hint="default" w:ascii="Times New Roman" w:hAnsi="Times New Roman" w:cs="Times New Roman"/>
          <w:sz w:val="24"/>
          <w:szCs w:val="24"/>
          <w:lang w:val="en-US"/>
        </w:rPr>
        <w:t>4</w:t>
      </w:r>
      <w:r>
        <w:rPr>
          <w:rStyle w:val="26"/>
          <w:rFonts w:hint="default" w:ascii="Times New Roman" w:hAnsi="Times New Roman" w:cs="Times New Roman"/>
          <w:sz w:val="24"/>
          <w:szCs w:val="24"/>
          <w:lang w:val="en-US"/>
        </w:rPr>
        <w:t>), the calibrated Brier score ranged from lowest in France (0.0808) to highest in India (0.2135), suggesting that the transferability of calibration remained variable across countries.</w:t>
      </w:r>
      <w:r>
        <w:rPr>
          <w:rFonts w:hint="default" w:ascii="Times New Roman" w:hAnsi="Times New Roman" w:cs="Times New Roman"/>
          <w:sz w:val="24"/>
          <w:szCs w:val="24"/>
          <w:lang w:val="en-US"/>
        </w:rPr>
        <w:br w:type="textWrapping"/>
      </w:r>
      <w:r>
        <w:rPr>
          <w:rStyle w:val="26"/>
          <w:rFonts w:hint="default" w:ascii="Times New Roman" w:hAnsi="Times New Roman" w:cs="Times New Roman"/>
          <w:sz w:val="24"/>
          <w:szCs w:val="24"/>
          <w:lang w:val="en-US"/>
        </w:rPr>
        <w:t xml:space="preserve">With the global LOCO model used as the </w:t>
      </w:r>
      <w:r>
        <w:rPr>
          <w:rStyle w:val="26"/>
          <w:rFonts w:hint="default" w:ascii="Times New Roman" w:hAnsi="Times New Roman" w:cs="Times New Roman"/>
          <w:sz w:val="24"/>
          <w:szCs w:val="24"/>
          <w:lang w:val="en-US"/>
        </w:rPr>
        <w:t xml:space="preserve">primary </w:t>
      </w:r>
      <w:r>
        <w:rPr>
          <w:rStyle w:val="26"/>
          <w:rFonts w:hint="default" w:ascii="Times New Roman" w:hAnsi="Times New Roman" w:cs="Times New Roman"/>
          <w:sz w:val="24"/>
          <w:szCs w:val="24"/>
          <w:lang w:val="en-US"/>
        </w:rPr>
        <w:t>model, the overall mean calibrated resistance probability across the 480 inferences for Kazakhstan was 0.338, with 66.9% above the 20% clinical actionability threshold.</w:t>
      </w:r>
      <w:r>
        <w:rPr>
          <w:rFonts w:hint="default" w:ascii="Times New Roman" w:hAnsi="Times New Roman" w:cs="Times New Roman"/>
          <w:sz w:val="24"/>
          <w:szCs w:val="24"/>
          <w:lang w:val="en-US"/>
        </w:rPr>
        <w:t> </w:t>
      </w:r>
      <w:r>
        <w:rPr>
          <w:rStyle w:val="11"/>
          <w:rFonts w:hint="default" w:ascii="Times New Roman" w:hAnsi="Times New Roman" w:cs="Times New Roman"/>
          <w:sz w:val="24"/>
          <w:szCs w:val="24"/>
          <w:lang w:val="en-US"/>
        </w:rPr>
        <w:t>Acinetobacter baumannii</w:t>
      </w:r>
      <w:r>
        <w:rPr>
          <w:rStyle w:val="26"/>
          <w:rFonts w:hint="default" w:ascii="Times New Roman" w:hAnsi="Times New Roman" w:cs="Times New Roman"/>
          <w:sz w:val="24"/>
          <w:szCs w:val="24"/>
          <w:lang w:val="en-US"/>
        </w:rPr>
        <w:t> (mean resistance prediction 0.55) was the most resistant, followed by </w:t>
      </w:r>
      <w:r>
        <w:rPr>
          <w:rStyle w:val="11"/>
          <w:rFonts w:hint="default" w:ascii="Times New Roman" w:hAnsi="Times New Roman" w:cs="Times New Roman"/>
          <w:sz w:val="24"/>
          <w:szCs w:val="24"/>
          <w:lang w:val="en-US"/>
        </w:rPr>
        <w:t>Klebsiella pneumoniae</w:t>
      </w:r>
      <w:r>
        <w:rPr>
          <w:rStyle w:val="26"/>
          <w:rFonts w:hint="default" w:ascii="Times New Roman" w:hAnsi="Times New Roman" w:cs="Times New Roman"/>
          <w:sz w:val="24"/>
          <w:szCs w:val="24"/>
          <w:lang w:val="en-US"/>
        </w:rPr>
        <w:t> and </w:t>
      </w:r>
      <w:r>
        <w:rPr>
          <w:rStyle w:val="11"/>
          <w:rFonts w:hint="default" w:ascii="Times New Roman" w:hAnsi="Times New Roman" w:cs="Times New Roman"/>
          <w:sz w:val="24"/>
          <w:szCs w:val="24"/>
          <w:lang w:val="en-US"/>
        </w:rPr>
        <w:t>Enterococcus faecium</w:t>
      </w:r>
      <w:r>
        <w:rPr>
          <w:rStyle w:val="26"/>
          <w:rFonts w:hint="default" w:ascii="Times New Roman" w:hAnsi="Times New Roman" w:cs="Times New Roman"/>
          <w:sz w:val="24"/>
          <w:szCs w:val="24"/>
          <w:lang w:val="en-US"/>
        </w:rPr>
        <w:t> (~0.43 mean resistance prediction).</w:t>
      </w:r>
    </w:p>
    <w:tbl>
      <w:tblPr>
        <w:tblStyle w:val="16"/>
        <w:tblW w:w="98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1"/>
        <w:gridCol w:w="782"/>
        <w:gridCol w:w="1114"/>
        <w:gridCol w:w="911"/>
        <w:gridCol w:w="954"/>
        <w:gridCol w:w="949"/>
        <w:gridCol w:w="969"/>
        <w:gridCol w:w="909"/>
        <w:gridCol w:w="1160"/>
        <w:gridCol w:w="1123"/>
      </w:tblGrid>
      <w:tr w14:paraId="5ACE8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6BC1E708">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Group</w:t>
            </w:r>
          </w:p>
        </w:tc>
        <w:tc>
          <w:tcPr>
            <w:tcW w:w="782" w:type="dxa"/>
          </w:tcPr>
          <w:p w14:paraId="3E5197F7">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n_countries</w:t>
            </w:r>
          </w:p>
        </w:tc>
        <w:tc>
          <w:tcPr>
            <w:tcW w:w="1114" w:type="dxa"/>
          </w:tcPr>
          <w:p w14:paraId="5366BDCB">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n_train</w:t>
            </w:r>
          </w:p>
        </w:tc>
        <w:tc>
          <w:tcPr>
            <w:tcW w:w="911" w:type="dxa"/>
          </w:tcPr>
          <w:p w14:paraId="1808915C">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n_val</w:t>
            </w:r>
          </w:p>
        </w:tc>
        <w:tc>
          <w:tcPr>
            <w:tcW w:w="954" w:type="dxa"/>
          </w:tcPr>
          <w:p w14:paraId="78FA7755">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val_AUC</w:t>
            </w:r>
          </w:p>
        </w:tc>
        <w:tc>
          <w:tcPr>
            <w:tcW w:w="949" w:type="dxa"/>
          </w:tcPr>
          <w:p w14:paraId="39974CE7">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val_AUPRC</w:t>
            </w:r>
          </w:p>
        </w:tc>
        <w:tc>
          <w:tcPr>
            <w:tcW w:w="969" w:type="dxa"/>
          </w:tcPr>
          <w:p w14:paraId="275A35EC">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Brier_raw</w:t>
            </w:r>
          </w:p>
        </w:tc>
        <w:tc>
          <w:tcPr>
            <w:tcW w:w="909" w:type="dxa"/>
          </w:tcPr>
          <w:p w14:paraId="46C9C6F0">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Brier_cal</w:t>
            </w:r>
          </w:p>
        </w:tc>
        <w:tc>
          <w:tcPr>
            <w:tcW w:w="1160" w:type="dxa"/>
          </w:tcPr>
          <w:p w14:paraId="4AA9B5A6">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kz_mean_cal</w:t>
            </w:r>
          </w:p>
        </w:tc>
        <w:tc>
          <w:tcPr>
            <w:tcW w:w="1123" w:type="dxa"/>
          </w:tcPr>
          <w:p w14:paraId="3FA7153E">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kz_% &gt;= 0.2</w:t>
            </w:r>
          </w:p>
        </w:tc>
      </w:tr>
      <w:tr w14:paraId="6DFA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10A31B3F">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post soviet</w:t>
            </w:r>
          </w:p>
        </w:tc>
        <w:tc>
          <w:tcPr>
            <w:tcW w:w="782" w:type="dxa"/>
          </w:tcPr>
          <w:p w14:paraId="5F30602A">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6</w:t>
            </w:r>
          </w:p>
        </w:tc>
        <w:tc>
          <w:tcPr>
            <w:tcW w:w="1114" w:type="dxa"/>
          </w:tcPr>
          <w:p w14:paraId="37C7D7B3">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179,237</w:t>
            </w:r>
          </w:p>
        </w:tc>
        <w:tc>
          <w:tcPr>
            <w:tcW w:w="911" w:type="dxa"/>
          </w:tcPr>
          <w:p w14:paraId="586FC79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60,583</w:t>
            </w:r>
          </w:p>
        </w:tc>
        <w:tc>
          <w:tcPr>
            <w:tcW w:w="954" w:type="dxa"/>
          </w:tcPr>
          <w:p w14:paraId="64DEC99C">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0.8979</w:t>
            </w:r>
          </w:p>
        </w:tc>
        <w:tc>
          <w:tcPr>
            <w:tcW w:w="949" w:type="dxa"/>
          </w:tcPr>
          <w:p w14:paraId="008DE1B2">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0.8073</w:t>
            </w:r>
          </w:p>
        </w:tc>
        <w:tc>
          <w:tcPr>
            <w:tcW w:w="969" w:type="dxa"/>
          </w:tcPr>
          <w:p w14:paraId="3EC2DEDF">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0.1389</w:t>
            </w:r>
          </w:p>
        </w:tc>
        <w:tc>
          <w:tcPr>
            <w:tcW w:w="909" w:type="dxa"/>
          </w:tcPr>
          <w:p w14:paraId="5C96DCCC">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0.1186</w:t>
            </w:r>
          </w:p>
        </w:tc>
        <w:tc>
          <w:tcPr>
            <w:tcW w:w="1160" w:type="dxa"/>
          </w:tcPr>
          <w:p w14:paraId="5EDEFAE7">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0.3996</w:t>
            </w:r>
          </w:p>
        </w:tc>
        <w:tc>
          <w:tcPr>
            <w:tcW w:w="1123" w:type="dxa"/>
          </w:tcPr>
          <w:p w14:paraId="52FA56C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72.5</w:t>
            </w:r>
          </w:p>
        </w:tc>
      </w:tr>
      <w:tr w14:paraId="28E89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64E07134">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LOCO (KZ)</w:t>
            </w:r>
          </w:p>
        </w:tc>
        <w:tc>
          <w:tcPr>
            <w:tcW w:w="782" w:type="dxa"/>
          </w:tcPr>
          <w:p w14:paraId="62F74DEE">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85</w:t>
            </w:r>
          </w:p>
        </w:tc>
        <w:tc>
          <w:tcPr>
            <w:tcW w:w="1114" w:type="dxa"/>
          </w:tcPr>
          <w:p w14:paraId="74276B7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7,203,908</w:t>
            </w:r>
          </w:p>
        </w:tc>
        <w:tc>
          <w:tcPr>
            <w:tcW w:w="911" w:type="dxa"/>
          </w:tcPr>
          <w:p w14:paraId="65AEC14B">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1,601,179</w:t>
            </w:r>
          </w:p>
        </w:tc>
        <w:tc>
          <w:tcPr>
            <w:tcW w:w="954" w:type="dxa"/>
          </w:tcPr>
          <w:p w14:paraId="5B92005E">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0.8812</w:t>
            </w:r>
          </w:p>
        </w:tc>
        <w:tc>
          <w:tcPr>
            <w:tcW w:w="949" w:type="dxa"/>
          </w:tcPr>
          <w:p w14:paraId="0F951CF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0.7050</w:t>
            </w:r>
          </w:p>
        </w:tc>
        <w:tc>
          <w:tcPr>
            <w:tcW w:w="969" w:type="dxa"/>
          </w:tcPr>
          <w:p w14:paraId="7FF0A676">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0.1550</w:t>
            </w:r>
          </w:p>
        </w:tc>
        <w:tc>
          <w:tcPr>
            <w:tcW w:w="909" w:type="dxa"/>
          </w:tcPr>
          <w:p w14:paraId="21720098">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0.1059</w:t>
            </w:r>
          </w:p>
        </w:tc>
        <w:tc>
          <w:tcPr>
            <w:tcW w:w="1160" w:type="dxa"/>
          </w:tcPr>
          <w:p w14:paraId="6C144BD7">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0.3380</w:t>
            </w:r>
          </w:p>
        </w:tc>
        <w:tc>
          <w:tcPr>
            <w:tcW w:w="1123" w:type="dxa"/>
          </w:tcPr>
          <w:p w14:paraId="0D303EF1">
            <w:pPr>
              <w:widowControl w:val="0"/>
              <w:spacing w:before="240" w:after="240" w:line="240" w:lineRule="auto"/>
              <w:jc w:val="both"/>
              <w:rPr>
                <w:rFonts w:hint="default" w:ascii="Times New Roman" w:hAnsi="Times New Roman" w:cs="Times New Roman"/>
                <w:sz w:val="24"/>
                <w:szCs w:val="24"/>
                <w:lang w:val="ru-RU"/>
              </w:rPr>
            </w:pPr>
            <w:r>
              <w:rPr>
                <w:rFonts w:hint="default" w:ascii="Times New Roman" w:hAnsi="Times New Roman" w:eastAsia="Times New Roman" w:cs="Times New Roman"/>
                <w:sz w:val="24"/>
                <w:szCs w:val="24"/>
                <w:highlight w:val="white"/>
              </w:rPr>
              <w:t>6</w:t>
            </w:r>
            <w:r>
              <w:rPr>
                <w:rFonts w:hint="default" w:ascii="Times New Roman" w:hAnsi="Times New Roman" w:eastAsia="Times New Roman" w:cs="Times New Roman"/>
                <w:sz w:val="24"/>
                <w:szCs w:val="24"/>
                <w:highlight w:val="white"/>
                <w:lang w:val="ru-RU"/>
              </w:rPr>
              <w:t>6</w:t>
            </w:r>
            <w:r>
              <w:rPr>
                <w:rFonts w:hint="default" w:ascii="Times New Roman" w:hAnsi="Times New Roman" w:eastAsia="Times New Roman" w:cs="Times New Roman"/>
                <w:sz w:val="24"/>
                <w:szCs w:val="24"/>
                <w:highlight w:val="white"/>
              </w:rPr>
              <w:t>.</w:t>
            </w:r>
            <w:r>
              <w:rPr>
                <w:rFonts w:hint="default" w:ascii="Times New Roman" w:hAnsi="Times New Roman" w:eastAsia="Times New Roman" w:cs="Times New Roman"/>
                <w:sz w:val="24"/>
                <w:szCs w:val="24"/>
                <w:highlight w:val="white"/>
                <w:lang w:val="ru-RU"/>
              </w:rPr>
              <w:t>9</w:t>
            </w:r>
          </w:p>
        </w:tc>
      </w:tr>
    </w:tbl>
    <w:p w14:paraId="57417921">
      <w:pPr>
        <w:spacing w:before="240" w:after="240" w:line="240" w:lineRule="auto"/>
        <w:rPr>
          <w:rFonts w:hint="default" w:ascii="Times New Roman" w:hAnsi="Times New Roman" w:eastAsia="Times New Roman" w:cs="Times New Roman"/>
          <w:i/>
          <w:iCs/>
          <w:sz w:val="24"/>
          <w:szCs w:val="24"/>
          <w:highlight w:val="white"/>
        </w:rPr>
      </w:pPr>
      <w:r>
        <w:rPr>
          <w:rFonts w:hint="default" w:ascii="Times New Roman" w:hAnsi="Times New Roman" w:eastAsia="Times New Roman" w:cs="Times New Roman"/>
          <w:i/>
          <w:iCs/>
          <w:sz w:val="24"/>
          <w:szCs w:val="24"/>
          <w:highlight w:val="white"/>
        </w:rPr>
        <w:t xml:space="preserve">Table </w:t>
      </w:r>
      <w:r>
        <w:rPr>
          <w:rFonts w:hint="default" w:ascii="Times New Roman" w:hAnsi="Times New Roman" w:eastAsia="Times New Roman" w:cs="Times New Roman"/>
          <w:i/>
          <w:iCs/>
          <w:sz w:val="24"/>
          <w:szCs w:val="24"/>
          <w:highlight w:val="white"/>
          <w:lang w:val="en-US"/>
        </w:rPr>
        <w:t>3</w:t>
      </w:r>
      <w:r>
        <w:rPr>
          <w:rFonts w:hint="default" w:ascii="Times New Roman" w:hAnsi="Times New Roman" w:eastAsia="Times New Roman" w:cs="Times New Roman"/>
          <w:i/>
          <w:iCs/>
          <w:sz w:val="24"/>
          <w:szCs w:val="24"/>
          <w:highlight w:val="white"/>
        </w:rPr>
        <w:t xml:space="preserve">: Performance of post-Soviet and global LOCO model including Kazakhstan inference statistics.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0"/>
        <w:gridCol w:w="1072"/>
        <w:gridCol w:w="921"/>
        <w:gridCol w:w="1168"/>
        <w:gridCol w:w="1264"/>
        <w:gridCol w:w="1147"/>
        <w:gridCol w:w="1020"/>
        <w:gridCol w:w="1143"/>
        <w:gridCol w:w="921"/>
      </w:tblGrid>
      <w:tr w14:paraId="4A3DB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221CB9E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Country</w:t>
            </w:r>
          </w:p>
        </w:tc>
        <w:tc>
          <w:tcPr>
            <w:tcW w:w="1072" w:type="dxa"/>
          </w:tcPr>
          <w:p w14:paraId="464A291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n_test</w:t>
            </w:r>
          </w:p>
        </w:tc>
        <w:tc>
          <w:tcPr>
            <w:tcW w:w="921" w:type="dxa"/>
          </w:tcPr>
          <w:p w14:paraId="2CCAAA5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Prevalence</w:t>
            </w:r>
          </w:p>
        </w:tc>
        <w:tc>
          <w:tcPr>
            <w:tcW w:w="1168" w:type="dxa"/>
          </w:tcPr>
          <w:p w14:paraId="43D8544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AUC_cal</w:t>
            </w:r>
          </w:p>
        </w:tc>
        <w:tc>
          <w:tcPr>
            <w:tcW w:w="1264" w:type="dxa"/>
          </w:tcPr>
          <w:p w14:paraId="13B7AFE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AUPRC_cal</w:t>
            </w:r>
          </w:p>
        </w:tc>
        <w:tc>
          <w:tcPr>
            <w:tcW w:w="1147" w:type="dxa"/>
          </w:tcPr>
          <w:p w14:paraId="4877671B">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Recall@0.2_cal</w:t>
            </w:r>
          </w:p>
        </w:tc>
        <w:tc>
          <w:tcPr>
            <w:tcW w:w="1020" w:type="dxa"/>
          </w:tcPr>
          <w:p w14:paraId="6196679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Prec@0.2_cal</w:t>
            </w:r>
          </w:p>
        </w:tc>
        <w:tc>
          <w:tcPr>
            <w:tcW w:w="1143" w:type="dxa"/>
          </w:tcPr>
          <w:p w14:paraId="43CA03A0">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F1@0.2_cal</w:t>
            </w:r>
          </w:p>
        </w:tc>
        <w:tc>
          <w:tcPr>
            <w:tcW w:w="921" w:type="dxa"/>
          </w:tcPr>
          <w:p w14:paraId="1513500C">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Brier_cal</w:t>
            </w:r>
          </w:p>
        </w:tc>
      </w:tr>
      <w:tr w14:paraId="0F10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3DFE768C">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Russia</w:t>
            </w:r>
          </w:p>
        </w:tc>
        <w:tc>
          <w:tcPr>
            <w:tcW w:w="1072" w:type="dxa"/>
          </w:tcPr>
          <w:p w14:paraId="66112E2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169,418</w:t>
            </w:r>
          </w:p>
        </w:tc>
        <w:tc>
          <w:tcPr>
            <w:tcW w:w="921" w:type="dxa"/>
          </w:tcPr>
          <w:p w14:paraId="7A20451D">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0.2772</w:t>
            </w:r>
          </w:p>
        </w:tc>
        <w:tc>
          <w:tcPr>
            <w:tcW w:w="1168" w:type="dxa"/>
          </w:tcPr>
          <w:p w14:paraId="5480BFA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0.8856</w:t>
            </w:r>
          </w:p>
        </w:tc>
        <w:tc>
          <w:tcPr>
            <w:tcW w:w="1264" w:type="dxa"/>
          </w:tcPr>
          <w:p w14:paraId="7CF405C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0.7418</w:t>
            </w:r>
          </w:p>
        </w:tc>
        <w:tc>
          <w:tcPr>
            <w:tcW w:w="1147" w:type="dxa"/>
          </w:tcPr>
          <w:p w14:paraId="29E829F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0.7777</w:t>
            </w:r>
          </w:p>
        </w:tc>
        <w:tc>
          <w:tcPr>
            <w:tcW w:w="1020" w:type="dxa"/>
          </w:tcPr>
          <w:p w14:paraId="106C095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0.6057</w:t>
            </w:r>
          </w:p>
        </w:tc>
        <w:tc>
          <w:tcPr>
            <w:tcW w:w="1143" w:type="dxa"/>
          </w:tcPr>
          <w:p w14:paraId="1BDDDEF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0.6810</w:t>
            </w:r>
          </w:p>
        </w:tc>
        <w:tc>
          <w:tcPr>
            <w:tcW w:w="921" w:type="dxa"/>
          </w:tcPr>
          <w:p w14:paraId="70DB957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0.1341</w:t>
            </w:r>
          </w:p>
        </w:tc>
      </w:tr>
      <w:tr w14:paraId="63E5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22771B3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Turkey</w:t>
            </w:r>
          </w:p>
        </w:tc>
        <w:tc>
          <w:tcPr>
            <w:tcW w:w="1072" w:type="dxa"/>
          </w:tcPr>
          <w:p w14:paraId="50B0FFF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182,604</w:t>
            </w:r>
          </w:p>
        </w:tc>
        <w:tc>
          <w:tcPr>
            <w:tcW w:w="921" w:type="dxa"/>
          </w:tcPr>
          <w:p w14:paraId="2AAF048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0.2877</w:t>
            </w:r>
          </w:p>
        </w:tc>
        <w:tc>
          <w:tcPr>
            <w:tcW w:w="1168" w:type="dxa"/>
          </w:tcPr>
          <w:p w14:paraId="7D9EC42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0.8454</w:t>
            </w:r>
          </w:p>
        </w:tc>
        <w:tc>
          <w:tcPr>
            <w:tcW w:w="1264" w:type="dxa"/>
          </w:tcPr>
          <w:p w14:paraId="1394672E">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0.6922</w:t>
            </w:r>
          </w:p>
        </w:tc>
        <w:tc>
          <w:tcPr>
            <w:tcW w:w="1147" w:type="dxa"/>
          </w:tcPr>
          <w:p w14:paraId="0D0D55C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0.8233</w:t>
            </w:r>
          </w:p>
        </w:tc>
        <w:tc>
          <w:tcPr>
            <w:tcW w:w="1020" w:type="dxa"/>
          </w:tcPr>
          <w:p w14:paraId="61324A6C">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0.5188</w:t>
            </w:r>
          </w:p>
        </w:tc>
        <w:tc>
          <w:tcPr>
            <w:tcW w:w="1143" w:type="dxa"/>
          </w:tcPr>
          <w:p w14:paraId="3231934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0.6365</w:t>
            </w:r>
          </w:p>
        </w:tc>
        <w:tc>
          <w:tcPr>
            <w:tcW w:w="921" w:type="dxa"/>
          </w:tcPr>
          <w:p w14:paraId="0FDD5BF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0.1471</w:t>
            </w:r>
          </w:p>
        </w:tc>
      </w:tr>
      <w:tr w14:paraId="18C3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0C98FC8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France</w:t>
            </w:r>
          </w:p>
        </w:tc>
        <w:tc>
          <w:tcPr>
            <w:tcW w:w="1072" w:type="dxa"/>
          </w:tcPr>
          <w:p w14:paraId="00C7601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640,323</w:t>
            </w:r>
          </w:p>
        </w:tc>
        <w:tc>
          <w:tcPr>
            <w:tcW w:w="921" w:type="dxa"/>
          </w:tcPr>
          <w:p w14:paraId="4A86815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0.1479</w:t>
            </w:r>
          </w:p>
        </w:tc>
        <w:tc>
          <w:tcPr>
            <w:tcW w:w="1168" w:type="dxa"/>
          </w:tcPr>
          <w:p w14:paraId="7076E25C">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0.8879</w:t>
            </w:r>
          </w:p>
        </w:tc>
        <w:tc>
          <w:tcPr>
            <w:tcW w:w="1264" w:type="dxa"/>
          </w:tcPr>
          <w:p w14:paraId="2A69891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0.6442</w:t>
            </w:r>
          </w:p>
        </w:tc>
        <w:tc>
          <w:tcPr>
            <w:tcW w:w="1147" w:type="dxa"/>
          </w:tcPr>
          <w:p w14:paraId="3115A0D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0.8020</w:t>
            </w:r>
          </w:p>
        </w:tc>
        <w:tc>
          <w:tcPr>
            <w:tcW w:w="1020" w:type="dxa"/>
          </w:tcPr>
          <w:p w14:paraId="4198AF2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0.3920</w:t>
            </w:r>
          </w:p>
        </w:tc>
        <w:tc>
          <w:tcPr>
            <w:tcW w:w="1143" w:type="dxa"/>
          </w:tcPr>
          <w:p w14:paraId="1BCD4C6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0.5267</w:t>
            </w:r>
          </w:p>
        </w:tc>
        <w:tc>
          <w:tcPr>
            <w:tcW w:w="921" w:type="dxa"/>
          </w:tcPr>
          <w:p w14:paraId="13B7B8F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0.0808</w:t>
            </w:r>
          </w:p>
        </w:tc>
      </w:tr>
      <w:tr w14:paraId="1C648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35EBFABC">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India</w:t>
            </w:r>
          </w:p>
        </w:tc>
        <w:tc>
          <w:tcPr>
            <w:tcW w:w="1072" w:type="dxa"/>
          </w:tcPr>
          <w:p w14:paraId="706ACEF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205,815</w:t>
            </w:r>
          </w:p>
        </w:tc>
        <w:tc>
          <w:tcPr>
            <w:tcW w:w="921" w:type="dxa"/>
          </w:tcPr>
          <w:p w14:paraId="37CB91C7">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0.4411</w:t>
            </w:r>
          </w:p>
        </w:tc>
        <w:tc>
          <w:tcPr>
            <w:tcW w:w="1168" w:type="dxa"/>
          </w:tcPr>
          <w:p w14:paraId="38E19FA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0.8074</w:t>
            </w:r>
          </w:p>
        </w:tc>
        <w:tc>
          <w:tcPr>
            <w:tcW w:w="1264" w:type="dxa"/>
          </w:tcPr>
          <w:p w14:paraId="1B4C14F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0.7592</w:t>
            </w:r>
          </w:p>
        </w:tc>
        <w:tc>
          <w:tcPr>
            <w:tcW w:w="1147" w:type="dxa"/>
          </w:tcPr>
          <w:p w14:paraId="03351F4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0.7343</w:t>
            </w:r>
          </w:p>
        </w:tc>
        <w:tc>
          <w:tcPr>
            <w:tcW w:w="1020" w:type="dxa"/>
          </w:tcPr>
          <w:p w14:paraId="494D4C77">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0.6606</w:t>
            </w:r>
          </w:p>
        </w:tc>
        <w:tc>
          <w:tcPr>
            <w:tcW w:w="1143" w:type="dxa"/>
          </w:tcPr>
          <w:p w14:paraId="7B93F75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0.6955</w:t>
            </w:r>
          </w:p>
        </w:tc>
        <w:tc>
          <w:tcPr>
            <w:tcW w:w="921" w:type="dxa"/>
          </w:tcPr>
          <w:p w14:paraId="62E568B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0.2135</w:t>
            </w:r>
          </w:p>
        </w:tc>
      </w:tr>
    </w:tbl>
    <w:p w14:paraId="594AAE0C">
      <w:pPr>
        <w:spacing w:line="240" w:lineRule="auto"/>
        <w:rPr>
          <w:rFonts w:hint="default" w:ascii="Times New Roman" w:hAnsi="Times New Roman" w:eastAsia="Times New Roman" w:cs="Times New Roman"/>
          <w:i/>
          <w:iCs/>
          <w:sz w:val="24"/>
          <w:szCs w:val="24"/>
          <w:highlight w:val="white"/>
        </w:rPr>
      </w:pPr>
      <w:r>
        <w:rPr>
          <w:rFonts w:hint="default" w:ascii="Times New Roman" w:hAnsi="Times New Roman" w:eastAsia="Times New Roman" w:cs="Times New Roman"/>
          <w:i/>
          <w:iCs/>
          <w:sz w:val="24"/>
          <w:szCs w:val="24"/>
          <w:highlight w:val="white"/>
        </w:rPr>
        <w:t xml:space="preserve"> Table </w:t>
      </w:r>
      <w:r>
        <w:rPr>
          <w:rFonts w:hint="default" w:ascii="Times New Roman" w:hAnsi="Times New Roman" w:eastAsia="Times New Roman" w:cs="Times New Roman"/>
          <w:i/>
          <w:iCs/>
          <w:sz w:val="24"/>
          <w:szCs w:val="24"/>
          <w:highlight w:val="white"/>
          <w:lang w:val="en-US"/>
        </w:rPr>
        <w:t>4</w:t>
      </w:r>
      <w:r>
        <w:rPr>
          <w:rFonts w:hint="default" w:ascii="Times New Roman" w:hAnsi="Times New Roman" w:eastAsia="Times New Roman" w:cs="Times New Roman"/>
          <w:i/>
          <w:iCs/>
          <w:sz w:val="24"/>
          <w:szCs w:val="24"/>
          <w:highlight w:val="white"/>
        </w:rPr>
        <w:t xml:space="preserve">: Country hold-out evaluation for Russia, Turkey, France, and India. </w:t>
      </w:r>
    </w:p>
    <w:p w14:paraId="34D8177E">
      <w:pPr>
        <w:spacing w:line="240" w:lineRule="auto"/>
        <w:rPr>
          <w:rFonts w:hint="default" w:ascii="Times New Roman" w:hAnsi="Times New Roman" w:eastAsia="Times New Roman" w:cs="Times New Roman"/>
          <w:i/>
          <w:iCs/>
          <w:sz w:val="24"/>
          <w:szCs w:val="24"/>
          <w:highlight w:val="white"/>
        </w:rPr>
      </w:pPr>
    </w:p>
    <w:p w14:paraId="144544B9">
      <w:pPr>
        <w:spacing w:line="240" w:lineRule="auto"/>
        <w:rPr>
          <w:rFonts w:hint="default" w:ascii="Times New Roman" w:hAnsi="Times New Roman" w:eastAsia="Times New Roman" w:cs="Times New Roman"/>
          <w:b/>
          <w:bCs/>
          <w:sz w:val="24"/>
          <w:szCs w:val="24"/>
          <w:highlight w:val="white"/>
        </w:rPr>
      </w:pPr>
      <w:r>
        <w:rPr>
          <w:rFonts w:hint="default" w:ascii="Times New Roman" w:hAnsi="Times New Roman" w:eastAsia="Times New Roman" w:cs="Times New Roman"/>
          <w:b/>
          <w:bCs/>
          <w:sz w:val="24"/>
          <w:szCs w:val="24"/>
          <w:highlight w:val="white"/>
        </w:rPr>
        <w:t>3.5 Kazakhstan Resistance Inference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9"/>
        <w:gridCol w:w="1456"/>
        <w:gridCol w:w="1416"/>
        <w:gridCol w:w="855"/>
        <w:gridCol w:w="855"/>
        <w:gridCol w:w="878"/>
        <w:gridCol w:w="855"/>
        <w:gridCol w:w="936"/>
        <w:gridCol w:w="936"/>
      </w:tblGrid>
      <w:tr w14:paraId="07DC5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4" w:type="dxa"/>
          </w:tcPr>
          <w:p w14:paraId="5263819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Organism</w:t>
            </w:r>
          </w:p>
        </w:tc>
        <w:tc>
          <w:tcPr>
            <w:tcW w:w="1064" w:type="dxa"/>
          </w:tcPr>
          <w:p w14:paraId="688C53AB">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Mean (2017–2023)</w:t>
            </w:r>
          </w:p>
        </w:tc>
        <w:tc>
          <w:tcPr>
            <w:tcW w:w="1064" w:type="dxa"/>
          </w:tcPr>
          <w:p w14:paraId="6DCD685E">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95% CI</w:t>
            </w:r>
          </w:p>
        </w:tc>
        <w:tc>
          <w:tcPr>
            <w:tcW w:w="1064" w:type="dxa"/>
          </w:tcPr>
          <w:p w14:paraId="74E786C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2017</w:t>
            </w:r>
          </w:p>
        </w:tc>
        <w:tc>
          <w:tcPr>
            <w:tcW w:w="1064" w:type="dxa"/>
          </w:tcPr>
          <w:p w14:paraId="6EDDA74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2023</w:t>
            </w:r>
          </w:p>
        </w:tc>
        <w:tc>
          <w:tcPr>
            <w:tcW w:w="1064" w:type="dxa"/>
          </w:tcPr>
          <w:p w14:paraId="03A6309E">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Trend</w:t>
            </w:r>
          </w:p>
        </w:tc>
        <w:tc>
          <w:tcPr>
            <w:tcW w:w="1064" w:type="dxa"/>
          </w:tcPr>
          <w:p w14:paraId="019AE754">
            <w:pPr>
              <w:widowControl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ρ</w:t>
            </w:r>
            <w:r>
              <w:rPr>
                <w:rFonts w:hint="default" w:ascii="Times New Roman" w:hAnsi="Times New Roman" w:cs="Times New Roman"/>
                <w:sz w:val="24"/>
                <w:szCs w:val="24"/>
                <w:lang w:val="en-US"/>
              </w:rPr>
              <w:t xml:space="preserve"> </w:t>
            </w:r>
          </w:p>
        </w:tc>
        <w:tc>
          <w:tcPr>
            <w:tcW w:w="1064" w:type="dxa"/>
          </w:tcPr>
          <w:p w14:paraId="5FC2E5CB">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 (BH)</w:t>
            </w:r>
          </w:p>
        </w:tc>
        <w:tc>
          <w:tcPr>
            <w:tcW w:w="1064" w:type="dxa"/>
          </w:tcPr>
          <w:p w14:paraId="1B610FA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 (Bonf)</w:t>
            </w:r>
          </w:p>
        </w:tc>
      </w:tr>
      <w:tr w14:paraId="1181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238A576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 baumannii</w:t>
            </w:r>
          </w:p>
        </w:tc>
        <w:tc>
          <w:tcPr>
            <w:tcW w:w="1064" w:type="dxa"/>
          </w:tcPr>
          <w:p w14:paraId="141D76D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0.551</w:t>
            </w:r>
          </w:p>
        </w:tc>
        <w:tc>
          <w:tcPr>
            <w:tcW w:w="1064" w:type="dxa"/>
          </w:tcPr>
          <w:p w14:paraId="5E2C87B7">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0.508–0.591</w:t>
            </w:r>
          </w:p>
        </w:tc>
        <w:tc>
          <w:tcPr>
            <w:tcW w:w="1064" w:type="dxa"/>
          </w:tcPr>
          <w:p w14:paraId="43E1C8B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0.562</w:t>
            </w:r>
          </w:p>
        </w:tc>
        <w:tc>
          <w:tcPr>
            <w:tcW w:w="1064" w:type="dxa"/>
          </w:tcPr>
          <w:p w14:paraId="294E753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0.662</w:t>
            </w:r>
          </w:p>
        </w:tc>
        <w:tc>
          <w:tcPr>
            <w:tcW w:w="1064" w:type="dxa"/>
          </w:tcPr>
          <w:p w14:paraId="5D1056CC">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rising</w:t>
            </w:r>
          </w:p>
        </w:tc>
        <w:tc>
          <w:tcPr>
            <w:tcW w:w="1064" w:type="dxa"/>
          </w:tcPr>
          <w:p w14:paraId="40C08C7B">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0.786</w:t>
            </w:r>
          </w:p>
        </w:tc>
        <w:tc>
          <w:tcPr>
            <w:tcW w:w="1064" w:type="dxa"/>
          </w:tcPr>
          <w:p w14:paraId="0CBBC99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0.0489</w:t>
            </w:r>
          </w:p>
        </w:tc>
        <w:tc>
          <w:tcPr>
            <w:tcW w:w="1064" w:type="dxa"/>
          </w:tcPr>
          <w:p w14:paraId="33633D8C">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0.2174</w:t>
            </w:r>
          </w:p>
        </w:tc>
      </w:tr>
      <w:tr w14:paraId="76F3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5BDF603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K. pneumoniae</w:t>
            </w:r>
          </w:p>
        </w:tc>
        <w:tc>
          <w:tcPr>
            <w:tcW w:w="1064" w:type="dxa"/>
          </w:tcPr>
          <w:p w14:paraId="248BC5BE">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0.434</w:t>
            </w:r>
          </w:p>
        </w:tc>
        <w:tc>
          <w:tcPr>
            <w:tcW w:w="1064" w:type="dxa"/>
          </w:tcPr>
          <w:p w14:paraId="2395381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0.383–0.486</w:t>
            </w:r>
          </w:p>
        </w:tc>
        <w:tc>
          <w:tcPr>
            <w:tcW w:w="1064" w:type="dxa"/>
          </w:tcPr>
          <w:p w14:paraId="57E61DC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0.399</w:t>
            </w:r>
          </w:p>
        </w:tc>
        <w:tc>
          <w:tcPr>
            <w:tcW w:w="1064" w:type="dxa"/>
          </w:tcPr>
          <w:p w14:paraId="6EFD3890">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0.561</w:t>
            </w:r>
          </w:p>
        </w:tc>
        <w:tc>
          <w:tcPr>
            <w:tcW w:w="1064" w:type="dxa"/>
          </w:tcPr>
          <w:p w14:paraId="4593876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rising</w:t>
            </w:r>
          </w:p>
        </w:tc>
        <w:tc>
          <w:tcPr>
            <w:tcW w:w="1064" w:type="dxa"/>
          </w:tcPr>
          <w:p w14:paraId="1794FE6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0.536</w:t>
            </w:r>
          </w:p>
        </w:tc>
        <w:tc>
          <w:tcPr>
            <w:tcW w:w="1064" w:type="dxa"/>
          </w:tcPr>
          <w:p w14:paraId="6AB098E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0.2152</w:t>
            </w:r>
          </w:p>
        </w:tc>
        <w:tc>
          <w:tcPr>
            <w:tcW w:w="1064" w:type="dxa"/>
          </w:tcPr>
          <w:p w14:paraId="032ADAD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&gt;0.99</w:t>
            </w:r>
          </w:p>
        </w:tc>
      </w:tr>
      <w:tr w14:paraId="70F56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E00C51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E. faecium</w:t>
            </w:r>
          </w:p>
        </w:tc>
        <w:tc>
          <w:tcPr>
            <w:tcW w:w="1064" w:type="dxa"/>
          </w:tcPr>
          <w:p w14:paraId="6185F879">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0.423</w:t>
            </w:r>
          </w:p>
        </w:tc>
        <w:tc>
          <w:tcPr>
            <w:tcW w:w="1064" w:type="dxa"/>
          </w:tcPr>
          <w:p w14:paraId="26D393F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0.365–0.481</w:t>
            </w:r>
          </w:p>
        </w:tc>
        <w:tc>
          <w:tcPr>
            <w:tcW w:w="1064" w:type="dxa"/>
          </w:tcPr>
          <w:p w14:paraId="730DA5C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0.376</w:t>
            </w:r>
          </w:p>
        </w:tc>
        <w:tc>
          <w:tcPr>
            <w:tcW w:w="1064" w:type="dxa"/>
          </w:tcPr>
          <w:p w14:paraId="2934740E">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0.609</w:t>
            </w:r>
          </w:p>
        </w:tc>
        <w:tc>
          <w:tcPr>
            <w:tcW w:w="1064" w:type="dxa"/>
          </w:tcPr>
          <w:p w14:paraId="355D5AF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rising</w:t>
            </w:r>
          </w:p>
        </w:tc>
        <w:tc>
          <w:tcPr>
            <w:tcW w:w="1064" w:type="dxa"/>
          </w:tcPr>
          <w:p w14:paraId="08498B4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0.786</w:t>
            </w:r>
          </w:p>
        </w:tc>
        <w:tc>
          <w:tcPr>
            <w:tcW w:w="1064" w:type="dxa"/>
          </w:tcPr>
          <w:p w14:paraId="360C4AEE">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0.0489</w:t>
            </w:r>
          </w:p>
        </w:tc>
        <w:tc>
          <w:tcPr>
            <w:tcW w:w="1064" w:type="dxa"/>
          </w:tcPr>
          <w:p w14:paraId="04A3CF47">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0.2174</w:t>
            </w:r>
          </w:p>
        </w:tc>
      </w:tr>
      <w:tr w14:paraId="0E24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9BCBE9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 aeruginosa</w:t>
            </w:r>
          </w:p>
        </w:tc>
        <w:tc>
          <w:tcPr>
            <w:tcW w:w="1064" w:type="dxa"/>
          </w:tcPr>
          <w:p w14:paraId="2739AE2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0.269</w:t>
            </w:r>
          </w:p>
        </w:tc>
        <w:tc>
          <w:tcPr>
            <w:tcW w:w="1064" w:type="dxa"/>
          </w:tcPr>
          <w:p w14:paraId="1AEDFCF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0.242–0.295</w:t>
            </w:r>
          </w:p>
        </w:tc>
        <w:tc>
          <w:tcPr>
            <w:tcW w:w="1064" w:type="dxa"/>
          </w:tcPr>
          <w:p w14:paraId="013F7EA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0.291</w:t>
            </w:r>
          </w:p>
        </w:tc>
        <w:tc>
          <w:tcPr>
            <w:tcW w:w="1064" w:type="dxa"/>
          </w:tcPr>
          <w:p w14:paraId="4B6947B9">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0.348</w:t>
            </w:r>
          </w:p>
        </w:tc>
        <w:tc>
          <w:tcPr>
            <w:tcW w:w="1064" w:type="dxa"/>
          </w:tcPr>
          <w:p w14:paraId="5D50C65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rising</w:t>
            </w:r>
          </w:p>
        </w:tc>
        <w:tc>
          <w:tcPr>
            <w:tcW w:w="1064" w:type="dxa"/>
          </w:tcPr>
          <w:p w14:paraId="533842EB">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0.775</w:t>
            </w:r>
          </w:p>
        </w:tc>
        <w:tc>
          <w:tcPr>
            <w:tcW w:w="1064" w:type="dxa"/>
          </w:tcPr>
          <w:p w14:paraId="0752D00D">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0.0489</w:t>
            </w:r>
          </w:p>
        </w:tc>
        <w:tc>
          <w:tcPr>
            <w:tcW w:w="1064" w:type="dxa"/>
          </w:tcPr>
          <w:p w14:paraId="771A077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0.2446</w:t>
            </w:r>
          </w:p>
        </w:tc>
      </w:tr>
      <w:tr w14:paraId="6194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EF9948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E. coli</w:t>
            </w:r>
          </w:p>
        </w:tc>
        <w:tc>
          <w:tcPr>
            <w:tcW w:w="1064" w:type="dxa"/>
          </w:tcPr>
          <w:p w14:paraId="1A3429F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0.267</w:t>
            </w:r>
          </w:p>
        </w:tc>
        <w:tc>
          <w:tcPr>
            <w:tcW w:w="1064" w:type="dxa"/>
          </w:tcPr>
          <w:p w14:paraId="47ADA46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0.226–0.307</w:t>
            </w:r>
          </w:p>
        </w:tc>
        <w:tc>
          <w:tcPr>
            <w:tcW w:w="1064" w:type="dxa"/>
          </w:tcPr>
          <w:p w14:paraId="630365EB">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0.201</w:t>
            </w:r>
          </w:p>
        </w:tc>
        <w:tc>
          <w:tcPr>
            <w:tcW w:w="1064" w:type="dxa"/>
          </w:tcPr>
          <w:p w14:paraId="6C1E5DF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0.402</w:t>
            </w:r>
          </w:p>
        </w:tc>
        <w:tc>
          <w:tcPr>
            <w:tcW w:w="1064" w:type="dxa"/>
          </w:tcPr>
          <w:p w14:paraId="238BB8AC">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rising</w:t>
            </w:r>
          </w:p>
        </w:tc>
        <w:tc>
          <w:tcPr>
            <w:tcW w:w="1064" w:type="dxa"/>
          </w:tcPr>
          <w:p w14:paraId="11647BA9">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0.786</w:t>
            </w:r>
          </w:p>
        </w:tc>
        <w:tc>
          <w:tcPr>
            <w:tcW w:w="1064" w:type="dxa"/>
          </w:tcPr>
          <w:p w14:paraId="5DB26B5C">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0.0489</w:t>
            </w:r>
          </w:p>
        </w:tc>
        <w:tc>
          <w:tcPr>
            <w:tcW w:w="1064" w:type="dxa"/>
          </w:tcPr>
          <w:p w14:paraId="6B1D06C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0.2174</w:t>
            </w:r>
          </w:p>
        </w:tc>
      </w:tr>
      <w:tr w14:paraId="5AE12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648ED5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S. aureus</w:t>
            </w:r>
          </w:p>
        </w:tc>
        <w:tc>
          <w:tcPr>
            <w:tcW w:w="1064" w:type="dxa"/>
          </w:tcPr>
          <w:p w14:paraId="106D3A90">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0.097</w:t>
            </w:r>
          </w:p>
        </w:tc>
        <w:tc>
          <w:tcPr>
            <w:tcW w:w="1064" w:type="dxa"/>
          </w:tcPr>
          <w:p w14:paraId="3DEE962E">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0.080–0.115</w:t>
            </w:r>
          </w:p>
        </w:tc>
        <w:tc>
          <w:tcPr>
            <w:tcW w:w="1064" w:type="dxa"/>
          </w:tcPr>
          <w:p w14:paraId="5E263777">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0.111</w:t>
            </w:r>
          </w:p>
        </w:tc>
        <w:tc>
          <w:tcPr>
            <w:tcW w:w="1064" w:type="dxa"/>
          </w:tcPr>
          <w:p w14:paraId="2CEFCDA9">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0.141</w:t>
            </w:r>
          </w:p>
        </w:tc>
        <w:tc>
          <w:tcPr>
            <w:tcW w:w="1064" w:type="dxa"/>
          </w:tcPr>
          <w:p w14:paraId="3D713B7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rising</w:t>
            </w:r>
          </w:p>
        </w:tc>
        <w:tc>
          <w:tcPr>
            <w:tcW w:w="1064" w:type="dxa"/>
          </w:tcPr>
          <w:p w14:paraId="2587B8F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0.786</w:t>
            </w:r>
          </w:p>
        </w:tc>
        <w:tc>
          <w:tcPr>
            <w:tcW w:w="1064" w:type="dxa"/>
          </w:tcPr>
          <w:p w14:paraId="07E7BE80">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0.0489</w:t>
            </w:r>
          </w:p>
        </w:tc>
        <w:tc>
          <w:tcPr>
            <w:tcW w:w="1064" w:type="dxa"/>
          </w:tcPr>
          <w:p w14:paraId="624D6DB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0.2174</w:t>
            </w:r>
          </w:p>
        </w:tc>
      </w:tr>
    </w:tbl>
    <w:p w14:paraId="3B99F3F4">
      <w:pPr>
        <w:spacing w:line="240" w:lineRule="auto"/>
        <w:rPr>
          <w:rFonts w:hint="default" w:ascii="Times New Roman" w:hAnsi="Times New Roman" w:eastAsia="Times New Roman" w:cs="Times New Roman"/>
          <w:i/>
          <w:iCs/>
          <w:sz w:val="24"/>
          <w:szCs w:val="24"/>
          <w:highlight w:val="white"/>
          <w:lang w:val="en-US"/>
        </w:rPr>
      </w:pPr>
      <w:r>
        <w:rPr>
          <w:rFonts w:hint="default" w:ascii="Times New Roman" w:hAnsi="Times New Roman" w:eastAsia="Times New Roman" w:cs="Times New Roman"/>
          <w:i/>
          <w:iCs/>
          <w:sz w:val="24"/>
          <w:szCs w:val="24"/>
          <w:highlight w:val="white"/>
        </w:rPr>
        <w:t xml:space="preserve">Table </w:t>
      </w:r>
      <w:r>
        <w:rPr>
          <w:rFonts w:hint="default" w:ascii="Times New Roman" w:hAnsi="Times New Roman" w:eastAsia="Times New Roman" w:cs="Times New Roman"/>
          <w:i/>
          <w:iCs/>
          <w:sz w:val="24"/>
          <w:szCs w:val="24"/>
          <w:highlight w:val="white"/>
          <w:lang w:val="en-US"/>
        </w:rPr>
        <w:t>5</w:t>
      </w:r>
      <w:r>
        <w:rPr>
          <w:rFonts w:hint="default" w:ascii="Times New Roman" w:hAnsi="Times New Roman" w:eastAsia="Times New Roman" w:cs="Times New Roman"/>
          <w:i/>
          <w:iCs/>
          <w:sz w:val="24"/>
          <w:szCs w:val="24"/>
          <w:highlight w:val="white"/>
        </w:rPr>
        <w:t>. Predicted probabilities of resistance (2017–2023) with associated 95% bootstrap CIs (1,000 resamples) for six WHO-priority pathogens for Kazakhstan, based on the global LOCO model. Spearman trend statistics are ρ, p(BH), and p(Bonf)</w:t>
      </w:r>
      <w:r>
        <w:rPr>
          <w:rFonts w:hint="default" w:ascii="Times New Roman" w:hAnsi="Times New Roman" w:eastAsia="Times New Roman" w:cs="Times New Roman"/>
          <w:i/>
          <w:iCs/>
          <w:sz w:val="24"/>
          <w:szCs w:val="24"/>
          <w:highlight w:val="white"/>
          <w:lang w:val="en-US"/>
        </w:rPr>
        <w:t>.</w:t>
      </w:r>
    </w:p>
    <w:p w14:paraId="3131748A">
      <w:pPr>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highlight w:val="white"/>
          <w:lang w:val="en-US"/>
        </w:rPr>
        <w:br w:type="textWrapping"/>
      </w:r>
      <w:r>
        <w:rPr>
          <w:rStyle w:val="26"/>
          <w:rFonts w:hint="default" w:ascii="Times New Roman" w:hAnsi="Times New Roman" w:cs="Times New Roman"/>
          <w:sz w:val="24"/>
          <w:szCs w:val="24"/>
          <w:lang w:val="en-US"/>
        </w:rPr>
        <w:t>The mean calibrated</w:t>
      </w:r>
      <w:r>
        <w:rPr>
          <w:rStyle w:val="26"/>
          <w:rFonts w:hint="default" w:ascii="Times New Roman" w:hAnsi="Times New Roman" w:cs="Times New Roman"/>
          <w:sz w:val="24"/>
          <w:szCs w:val="24"/>
          <w:lang w:val="ru-RU"/>
        </w:rPr>
        <w:t xml:space="preserve"> </w:t>
      </w:r>
      <w:r>
        <w:rPr>
          <w:rStyle w:val="26"/>
          <w:rFonts w:hint="default" w:ascii="Times New Roman" w:hAnsi="Times New Roman" w:cs="Times New Roman"/>
          <w:sz w:val="24"/>
          <w:szCs w:val="24"/>
          <w:lang w:val="en-US"/>
        </w:rPr>
        <w:t>resistance probability</w:t>
      </w:r>
      <w:r>
        <w:rPr>
          <w:rStyle w:val="26"/>
          <w:rFonts w:hint="default" w:ascii="Times New Roman" w:hAnsi="Times New Roman" w:cs="Times New Roman"/>
          <w:sz w:val="24"/>
          <w:szCs w:val="24"/>
          <w:lang w:val="en-US"/>
        </w:rPr>
        <w:t xml:space="preserve"> for each of Kazakhstan's six WHO-priority pathogens (2017–2023) is reported in Table </w:t>
      </w:r>
      <w:r>
        <w:rPr>
          <w:rStyle w:val="26"/>
          <w:rFonts w:hint="default" w:ascii="Times New Roman" w:hAnsi="Times New Roman" w:cs="Times New Roman"/>
          <w:sz w:val="24"/>
          <w:szCs w:val="24"/>
          <w:lang w:val="en-US"/>
        </w:rPr>
        <w:t>5</w:t>
      </w:r>
      <w:r>
        <w:rPr>
          <w:rStyle w:val="26"/>
          <w:rFonts w:hint="default" w:ascii="Times New Roman" w:hAnsi="Times New Roman" w:cs="Times New Roman"/>
          <w:sz w:val="24"/>
          <w:szCs w:val="24"/>
          <w:lang w:val="en-US"/>
        </w:rPr>
        <w:t>, with 95% bootstrap (1,000 resamples) CIs to show uncertainty.</w:t>
      </w:r>
      <w:r>
        <w:rPr>
          <w:rFonts w:hint="default" w:ascii="Times New Roman" w:hAnsi="Times New Roman" w:cs="Times New Roman"/>
          <w:sz w:val="24"/>
          <w:szCs w:val="24"/>
          <w:lang w:val="en-US"/>
        </w:rPr>
        <w:br w:type="textWrapping"/>
      </w:r>
      <w:r>
        <w:rPr>
          <w:rStyle w:val="26"/>
          <w:rFonts w:hint="default" w:ascii="Times New Roman" w:hAnsi="Times New Roman" w:cs="Times New Roman"/>
          <w:sz w:val="24"/>
          <w:szCs w:val="24"/>
          <w:lang w:val="en-US"/>
        </w:rPr>
        <w:t>Three pathogens had high mean predicted resistance (PMR) values, with </w:t>
      </w:r>
      <w:r>
        <w:rPr>
          <w:rStyle w:val="11"/>
          <w:rFonts w:hint="default" w:ascii="Times New Roman" w:hAnsi="Times New Roman" w:cs="Times New Roman"/>
          <w:sz w:val="24"/>
          <w:szCs w:val="24"/>
          <w:lang w:val="en-US"/>
        </w:rPr>
        <w:t>Acinetobacter baumannii</w:t>
      </w:r>
      <w:r>
        <w:rPr>
          <w:rStyle w:val="26"/>
          <w:rFonts w:hint="default" w:ascii="Times New Roman" w:hAnsi="Times New Roman" w:cs="Times New Roman"/>
          <w:sz w:val="24"/>
          <w:szCs w:val="24"/>
          <w:lang w:val="en-US"/>
        </w:rPr>
        <w:t> (0.551) being the most resistant, followed by </w:t>
      </w:r>
      <w:r>
        <w:rPr>
          <w:rStyle w:val="11"/>
          <w:rFonts w:hint="default" w:ascii="Times New Roman" w:hAnsi="Times New Roman" w:cs="Times New Roman"/>
          <w:sz w:val="24"/>
          <w:szCs w:val="24"/>
          <w:lang w:val="en-US"/>
        </w:rPr>
        <w:t>Klebsiella pneumoniae</w:t>
      </w:r>
      <w:r>
        <w:rPr>
          <w:rStyle w:val="26"/>
          <w:rFonts w:hint="default" w:ascii="Times New Roman" w:hAnsi="Times New Roman" w:cs="Times New Roman"/>
          <w:sz w:val="24"/>
          <w:szCs w:val="24"/>
          <w:lang w:val="en-US"/>
        </w:rPr>
        <w:t> (0.434) and </w:t>
      </w:r>
      <w:r>
        <w:rPr>
          <w:rStyle w:val="11"/>
          <w:rFonts w:hint="default" w:ascii="Times New Roman" w:hAnsi="Times New Roman" w:cs="Times New Roman"/>
          <w:sz w:val="24"/>
          <w:szCs w:val="24"/>
          <w:lang w:val="en-US"/>
        </w:rPr>
        <w:t>Enterococcus faecium</w:t>
      </w:r>
      <w:r>
        <w:rPr>
          <w:rStyle w:val="26"/>
          <w:rFonts w:hint="default" w:ascii="Times New Roman" w:hAnsi="Times New Roman" w:cs="Times New Roman"/>
          <w:sz w:val="24"/>
          <w:szCs w:val="24"/>
          <w:lang w:val="en-US"/>
        </w:rPr>
        <w:t> (0.423).</w:t>
      </w:r>
      <w:r>
        <w:rPr>
          <w:rFonts w:hint="default" w:ascii="Times New Roman" w:hAnsi="Times New Roman" w:cs="Times New Roman"/>
          <w:sz w:val="24"/>
          <w:szCs w:val="24"/>
          <w:lang w:val="en-US"/>
        </w:rPr>
        <w:t> </w:t>
      </w:r>
      <w:r>
        <w:rPr>
          <w:rStyle w:val="11"/>
          <w:rFonts w:hint="default" w:ascii="Times New Roman" w:hAnsi="Times New Roman" w:cs="Times New Roman"/>
          <w:sz w:val="24"/>
          <w:szCs w:val="24"/>
          <w:lang w:val="en-US"/>
        </w:rPr>
        <w:t>Staphylococcus aureus</w:t>
      </w:r>
      <w:r>
        <w:rPr>
          <w:rStyle w:val="26"/>
          <w:rFonts w:hint="default" w:ascii="Times New Roman" w:hAnsi="Times New Roman" w:cs="Times New Roman"/>
          <w:sz w:val="24"/>
          <w:szCs w:val="24"/>
          <w:lang w:val="en-US"/>
        </w:rPr>
        <w:t> had the lowest (0.097; 95% CI 0.080–0.115).</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None of the organisms exhibited a decrease in predicted probability during the study period from 2017 to 2023.</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 Spearman rank correlation with Benjamini–Hochberg FDR correction was performed on the annual mean series for the 6 pathogens.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Of these organisms, five showed positive trends that passed FDR</w:t>
      </w:r>
      <w:r>
        <w:rPr>
          <w:rFonts w:hint="default" w:ascii="Times New Roman" w:hAnsi="Times New Roman" w:cs="Times New Roman"/>
          <w:sz w:val="24"/>
          <w:szCs w:val="24"/>
          <w:lang w:val="en-US"/>
        </w:rPr>
        <w:t xml:space="preserve"> (pBH &lt; 0.049) but did not meet the Bonferroni correction; these are considered hypothesis-generating and should not be considered conclusive. </w:t>
      </w:r>
      <w:r>
        <w:rPr>
          <w:rStyle w:val="11"/>
          <w:rFonts w:hint="default" w:ascii="Times New Roman" w:hAnsi="Times New Roman" w:cs="Times New Roman"/>
          <w:sz w:val="24"/>
          <w:szCs w:val="24"/>
          <w:lang w:val="en-US"/>
        </w:rPr>
        <w:t>K. pneumoniae</w:t>
      </w:r>
      <w:r>
        <w:rPr>
          <w:rFonts w:hint="default" w:ascii="Times New Roman" w:hAnsi="Times New Roman" w:cs="Times New Roman"/>
          <w:sz w:val="24"/>
          <w:szCs w:val="24"/>
          <w:lang w:val="en-US"/>
        </w:rPr>
        <w:t> showed no significant trend (</w:t>
      </w:r>
      <w:r>
        <w:rPr>
          <w:rFonts w:hint="default" w:ascii="Times New Roman" w:hAnsi="Times New Roman" w:cs="Times New Roman"/>
          <w:sz w:val="24"/>
          <w:szCs w:val="24"/>
        </w:rPr>
        <w:t>ρ</w:t>
      </w:r>
      <w:r>
        <w:rPr>
          <w:rFonts w:hint="default" w:ascii="Times New Roman" w:hAnsi="Times New Roman" w:cs="Times New Roman"/>
          <w:sz w:val="24"/>
          <w:szCs w:val="24"/>
          <w:lang w:val="en-US"/>
        </w:rPr>
        <w:t xml:space="preserve"> = 0.536, pBH = 0.215).</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 xml:space="preserve">At the level of the antibiotic class, the highest rate of predicted antibiotic resistance occurred for penicillins, with almost complete intrinsic resistance to ampicillin (0.99), and most strongly in </w:t>
      </w:r>
      <w:r>
        <w:rPr>
          <w:rStyle w:val="11"/>
          <w:rFonts w:hint="default" w:ascii="Times New Roman" w:hAnsi="Times New Roman" w:cs="Times New Roman"/>
          <w:sz w:val="24"/>
          <w:szCs w:val="24"/>
          <w:lang w:val="en-US"/>
        </w:rPr>
        <w:t>Enterococcus faecium</w:t>
      </w:r>
      <w:r>
        <w:rPr>
          <w:rFonts w:hint="default" w:ascii="Times New Roman" w:hAnsi="Times New Roman" w:cs="Times New Roman"/>
          <w:sz w:val="24"/>
          <w:szCs w:val="24"/>
          <w:lang w:val="en-US"/>
        </w:rPr>
        <w:t xml:space="preserve"> (0.89) and </w:t>
      </w:r>
      <w:r>
        <w:rPr>
          <w:rStyle w:val="11"/>
          <w:rFonts w:hint="default" w:ascii="Times New Roman" w:hAnsi="Times New Roman" w:cs="Times New Roman"/>
          <w:sz w:val="24"/>
          <w:szCs w:val="24"/>
          <w:lang w:val="en-US"/>
        </w:rPr>
        <w:t>Klebsiella pneumoniae</w:t>
      </w:r>
      <w:r>
        <w:rPr>
          <w:rFonts w:hint="default" w:ascii="Times New Roman" w:hAnsi="Times New Roman" w:cs="Times New Roman"/>
          <w:sz w:val="24"/>
          <w:szCs w:val="24"/>
          <w:lang w:val="en-US"/>
        </w:rPr>
        <w:t xml:space="preserve"> (0.99), the latter two being typically highly resistant to ampicillin. For the other classes, the highest scores were observed for </w:t>
      </w:r>
      <w:r>
        <w:rPr>
          <w:rStyle w:val="11"/>
          <w:rFonts w:hint="default" w:ascii="Times New Roman" w:hAnsi="Times New Roman" w:cs="Times New Roman"/>
          <w:sz w:val="24"/>
          <w:szCs w:val="24"/>
          <w:lang w:val="en-US"/>
        </w:rPr>
        <w:t>E. faecium</w:t>
      </w:r>
      <w:r>
        <w:rPr>
          <w:rFonts w:hint="default" w:ascii="Times New Roman" w:hAnsi="Times New Roman" w:cs="Times New Roman"/>
          <w:sz w:val="24"/>
          <w:szCs w:val="24"/>
          <w:lang w:val="en-US"/>
        </w:rPr>
        <w:t xml:space="preserve"> (fluoroquinolones, 0.56), </w:t>
      </w:r>
      <w:r>
        <w:rPr>
          <w:rStyle w:val="11"/>
          <w:rFonts w:hint="default" w:ascii="Times New Roman" w:hAnsi="Times New Roman" w:cs="Times New Roman"/>
          <w:sz w:val="24"/>
          <w:szCs w:val="24"/>
          <w:lang w:val="en-US"/>
        </w:rPr>
        <w:t>K. pneumoniae</w:t>
      </w:r>
      <w:r>
        <w:rPr>
          <w:rFonts w:hint="default" w:ascii="Times New Roman" w:hAnsi="Times New Roman" w:cs="Times New Roman"/>
          <w:sz w:val="24"/>
          <w:szCs w:val="24"/>
          <w:lang w:val="en-US"/>
        </w:rPr>
        <w:t xml:space="preserve"> (cephalosporins, 0.54), and </w:t>
      </w:r>
      <w:r>
        <w:rPr>
          <w:rStyle w:val="11"/>
          <w:rFonts w:hint="default" w:ascii="Times New Roman" w:hAnsi="Times New Roman" w:cs="Times New Roman"/>
          <w:sz w:val="24"/>
          <w:szCs w:val="24"/>
          <w:lang w:val="en-US"/>
        </w:rPr>
        <w:t>A. baumannii</w:t>
      </w:r>
      <w:r>
        <w:rPr>
          <w:rFonts w:hint="default" w:ascii="Times New Roman" w:hAnsi="Times New Roman" w:cs="Times New Roman"/>
          <w:sz w:val="24"/>
          <w:szCs w:val="24"/>
          <w:lang w:val="en-US"/>
        </w:rPr>
        <w:t xml:space="preserve"> (cephalosporins, 0.73).</w:t>
      </w:r>
    </w:p>
    <w:p w14:paraId="110CD1FF">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Discussion</w:t>
      </w:r>
    </w:p>
    <w:p w14:paraId="4841AE3F">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4.1 Key Findings</w:t>
      </w:r>
    </w:p>
    <w:p w14:paraId="7091D585">
      <w:pPr>
        <w:pStyle w:val="13"/>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hypothesis that the determinants of AMR are sufficiently universal to allow forecasting at a cross-country level prior to gathering local data was tested. The model performed well in validation and supported—though did not prove—the hypothesis, because the model had a global hold-out AUC score of 0.849 and a LOCO validation AUC score of 0.881 without using any Kazakhstani training set samples. There is a lack of validation samples from Kazakhstan against which performance can be directly measured. The biggest predictors were organism and antibiotic identity (75% of the total importance), with the removal of this information causing a decrease in AUC from 0.848 to 0.618, while no macroeconomic group removed led to a change in AUC of more than 0.004. Accordingly, the ranking of resistance is mainly dependent on the organism–antibiotic combination and agrees well with MacFadden et al.</w:t>
      </w:r>
      <w:r>
        <w:rPr>
          <w:rFonts w:hint="default" w:ascii="Times New Roman" w:hAnsi="Times New Roman" w:cs="Times New Roman"/>
          <w:sz w:val="24"/>
          <w:szCs w:val="24"/>
          <w:vertAlign w:val="superscript"/>
          <w:lang w:val="en-US"/>
        </w:rPr>
        <w:t>6</w:t>
      </w:r>
      <w:r>
        <w:rPr>
          <w:rFonts w:hint="default" w:ascii="Times New Roman" w:hAnsi="Times New Roman" w:cs="Times New Roman"/>
          <w:sz w:val="24"/>
          <w:szCs w:val="24"/>
          <w:lang w:val="en-US"/>
        </w:rPr>
        <w:t xml:space="preserve">. The only pathway through which country-level variation arises in the Kazakhstan inference is in the macroeconomic and consumption features, with their overall contribution to the global discrimination being unimportant. A model for Kazakhstan identified </w:t>
      </w:r>
      <w:r>
        <w:rPr>
          <w:rStyle w:val="11"/>
          <w:rFonts w:hint="default" w:ascii="Times New Roman" w:hAnsi="Times New Roman" w:cs="Times New Roman"/>
          <w:sz w:val="24"/>
          <w:szCs w:val="24"/>
          <w:lang w:val="en-US"/>
        </w:rPr>
        <w:t>A. baumannii</w:t>
      </w:r>
      <w:r>
        <w:rPr>
          <w:rFonts w:hint="default" w:ascii="Times New Roman" w:hAnsi="Times New Roman" w:cs="Times New Roman"/>
          <w:sz w:val="24"/>
          <w:szCs w:val="24"/>
          <w:lang w:val="en-US"/>
        </w:rPr>
        <w:t xml:space="preserve"> as the most worrisome pathogen (mean 0.55), followed by </w:t>
      </w:r>
      <w:r>
        <w:rPr>
          <w:rStyle w:val="11"/>
          <w:rFonts w:hint="default" w:ascii="Times New Roman" w:hAnsi="Times New Roman" w:cs="Times New Roman"/>
          <w:sz w:val="24"/>
          <w:szCs w:val="24"/>
          <w:lang w:val="en-US"/>
        </w:rPr>
        <w:t>K. pneumoniae</w:t>
      </w:r>
      <w:r>
        <w:rPr>
          <w:rFonts w:hint="default" w:ascii="Times New Roman" w:hAnsi="Times New Roman" w:cs="Times New Roman"/>
          <w:sz w:val="24"/>
          <w:szCs w:val="24"/>
          <w:lang w:val="en-US"/>
        </w:rPr>
        <w:t xml:space="preserve"> and </w:t>
      </w:r>
      <w:r>
        <w:rPr>
          <w:rStyle w:val="11"/>
          <w:rFonts w:hint="default" w:ascii="Times New Roman" w:hAnsi="Times New Roman" w:cs="Times New Roman"/>
          <w:sz w:val="24"/>
          <w:szCs w:val="24"/>
          <w:lang w:val="en-US"/>
        </w:rPr>
        <w:t>E. faecium</w:t>
      </w:r>
      <w:r>
        <w:rPr>
          <w:rFonts w:hint="default" w:ascii="Times New Roman" w:hAnsi="Times New Roman" w:cs="Times New Roman"/>
          <w:sz w:val="24"/>
          <w:szCs w:val="24"/>
          <w:lang w:val="en-US"/>
        </w:rPr>
        <w:t xml:space="preserve"> (means of ~0.43); higher GDP and health expenditure were correlated with lower predicted resistance, consistent with Laxminarayan et al.</w:t>
      </w:r>
      <w:r>
        <w:rPr>
          <w:rFonts w:hint="default" w:ascii="Times New Roman" w:hAnsi="Times New Roman" w:cs="Times New Roman"/>
          <w:sz w:val="24"/>
          <w:szCs w:val="24"/>
          <w:vertAlign w:val="superscript"/>
          <w:lang w:val="en-US"/>
        </w:rPr>
        <w:t>4</w:t>
      </w:r>
      <w:r>
        <w:rPr>
          <w:rFonts w:hint="default" w:ascii="Times New Roman" w:hAnsi="Times New Roman" w:cs="Times New Roman"/>
          <w:sz w:val="24"/>
          <w:szCs w:val="24"/>
          <w:lang w:val="en-US"/>
        </w:rPr>
        <w:t>. Overall, 66.9% of inferences fell above the 20% actionability threshold.</w:t>
      </w:r>
    </w:p>
    <w:p w14:paraId="561F40C2">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4.2 Implications</w:t>
      </w:r>
    </w:p>
    <w:p w14:paraId="50742277">
      <w:pPr>
        <w:pStyle w:val="13"/>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Most countries without isolate-level AMR surveillance possess countrywide data and antibiotic consumption knowledge; for those that lack such resources, a viable precedent exists to help prioritise scarce AMR surveillance resources in the interim. A health system may, however, obtain a ranked, organism-specific risk rating that will help determine pathogen–antibiotic combinations that need to be initially confirmed. This decoupling of resistance levels (intrinsic resistance and absolute resistance) explains why resistance ranking can be transferred even without calibration: discrimination alone can be transferred across borders without calibration.</w:t>
      </w:r>
    </w:p>
    <w:p w14:paraId="07FC6CFB">
      <w:pPr>
        <w:pStyle w:val="13"/>
        <w:spacing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4.3 Model Selection</w:t>
      </w:r>
    </w:p>
    <w:p w14:paraId="48ACF388">
      <w:pPr>
        <w:pStyle w:val="13"/>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selection was accomplished on a clinical rather than a statistical basis. </w:t>
      </w:r>
      <w:r>
        <w:rPr>
          <w:rFonts w:hint="default" w:ascii="Times New Roman" w:hAnsi="Times New Roman" w:eastAsia="Segoe UI" w:cs="Times New Roman"/>
          <w:i w:val="0"/>
          <w:iCs w:val="0"/>
          <w:caps w:val="0"/>
          <w:color w:val="auto"/>
          <w:spacing w:val="0"/>
          <w:sz w:val="24"/>
          <w:szCs w:val="24"/>
          <w:shd w:val="clear" w:fill="FFFFFF"/>
        </w:rPr>
        <w:t>Although LightGBM had a slightly higher AUC than CatBoost (0.851 vs 0.849), the absolute difference was clinically negligible. The DeLong test identified this small difference as statistically significant because of the multi-million-row sample size. Model selection therefore followed the pre-specified clinical operating criterion, Recall@0.2, where CatBoost was higher (0.797 vs 0.782).</w:t>
      </w:r>
      <w:r>
        <w:rPr>
          <w:rFonts w:hint="default" w:ascii="Times New Roman" w:hAnsi="Times New Roman" w:cs="Times New Roman"/>
          <w:color w:val="auto"/>
          <w:sz w:val="24"/>
          <w:szCs w:val="24"/>
          <w:lang w:val="en-US"/>
        </w:rPr>
        <w:t xml:space="preserve"> </w:t>
      </w:r>
      <w:r>
        <w:rPr>
          <w:rFonts w:hint="default" w:ascii="Times New Roman" w:hAnsi="Times New Roman" w:cs="Times New Roman"/>
          <w:sz w:val="24"/>
          <w:szCs w:val="24"/>
          <w:lang w:val="en-US"/>
        </w:rPr>
        <w:t>With isotonic calibration, the value of ECE was lowered to 0.012, which is not significantly different from its previous value</w:t>
      </w:r>
      <w:r>
        <w:rPr>
          <w:rFonts w:hint="default" w:ascii="Times New Roman" w:hAnsi="Times New Roman" w:cs="Times New Roman"/>
          <w:sz w:val="24"/>
          <w:szCs w:val="24"/>
          <w:vertAlign w:val="superscript"/>
          <w:lang w:val="en-US"/>
        </w:rPr>
        <w:t>21</w:t>
      </w:r>
      <w:r>
        <w:rPr>
          <w:rFonts w:hint="default" w:ascii="Times New Roman" w:hAnsi="Times New Roman" w:cs="Times New Roman"/>
          <w:sz w:val="24"/>
          <w:szCs w:val="24"/>
          <w:lang w:val="en-US"/>
        </w:rPr>
        <w:t>, and the 20% limit is very much in line with previous stewardship efforts.</w:t>
      </w:r>
    </w:p>
    <w:p w14:paraId="1387C66A">
      <w:pPr>
        <w:pStyle w:val="13"/>
        <w:spacing w:line="240" w:lineRule="auto"/>
        <w:rPr>
          <w:rFonts w:hint="default" w:ascii="Times New Roman" w:hAnsi="Times New Roman" w:cs="Times New Roman"/>
          <w:sz w:val="24"/>
          <w:szCs w:val="24"/>
        </w:rPr>
      </w:pPr>
      <w:r>
        <w:rPr>
          <w:rStyle w:val="14"/>
          <w:rFonts w:hint="default" w:ascii="Times New Roman" w:hAnsi="Times New Roman" w:cs="Times New Roman"/>
          <w:sz w:val="24"/>
          <w:szCs w:val="24"/>
        </w:rPr>
        <w:t>4.4 Applications and Potential Research Directions</w:t>
      </w:r>
    </w:p>
    <w:p w14:paraId="0340727A">
      <w:pPr>
        <w:pStyle w:val="13"/>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Most previous AMR prediction algorithms rely on genome sequencing</w:t>
      </w:r>
      <w:r>
        <w:rPr>
          <w:rFonts w:hint="default" w:ascii="Times New Roman" w:hAnsi="Times New Roman" w:cs="Times New Roman"/>
          <w:sz w:val="24"/>
          <w:szCs w:val="24"/>
          <w:vertAlign w:val="superscript"/>
          <w:lang w:val="en-US"/>
        </w:rPr>
        <w:t>22</w:t>
      </w:r>
      <w:r>
        <w:rPr>
          <w:rFonts w:hint="default" w:ascii="Times New Roman" w:hAnsi="Times New Roman" w:cs="Times New Roman"/>
          <w:sz w:val="24"/>
          <w:szCs w:val="24"/>
          <w:lang w:val="en-US"/>
        </w:rPr>
        <w:t xml:space="preserve"> or on local surveillance</w:t>
      </w:r>
      <w:r>
        <w:rPr>
          <w:rFonts w:hint="default" w:ascii="Times New Roman" w:hAnsi="Times New Roman" w:cs="Times New Roman"/>
          <w:sz w:val="24"/>
          <w:szCs w:val="24"/>
          <w:vertAlign w:val="superscript"/>
          <w:lang w:val="en-US"/>
        </w:rPr>
        <w:t>6</w:t>
      </w:r>
      <w:r>
        <w:rPr>
          <w:rFonts w:hint="default" w:ascii="Times New Roman" w:hAnsi="Times New Roman" w:cs="Times New Roman"/>
          <w:sz w:val="24"/>
          <w:szCs w:val="24"/>
          <w:lang w:val="en-US"/>
        </w:rPr>
        <w:t>; thus, they may not be available in settings lacking surveillance or sequencing. In this method, only macro-proxy data are used to predict resistance rates for all six priority pathogens using no locally isolated pathogens. The AUC achieved by its hold-out data of 0.849 is very close to per-drug genomic AUC models (0.83–0.94)</w:t>
      </w:r>
      <w:r>
        <w:rPr>
          <w:rFonts w:hint="default" w:ascii="Times New Roman" w:hAnsi="Times New Roman" w:cs="Times New Roman"/>
          <w:sz w:val="24"/>
          <w:szCs w:val="24"/>
          <w:vertAlign w:val="superscript"/>
          <w:lang w:val="en-US"/>
        </w:rPr>
        <w:t>25</w:t>
      </w:r>
      <w:r>
        <w:rPr>
          <w:rFonts w:hint="default" w:ascii="Times New Roman" w:hAnsi="Times New Roman" w:cs="Times New Roman"/>
          <w:sz w:val="24"/>
          <w:szCs w:val="24"/>
          <w:lang w:val="en-US"/>
        </w:rPr>
        <w:t xml:space="preserve"> and species-specific MALDI-TOF models (0.81–0.85)</w:t>
      </w:r>
      <w:r>
        <w:rPr>
          <w:rFonts w:hint="default" w:ascii="Times New Roman" w:hAnsi="Times New Roman" w:cs="Times New Roman"/>
          <w:sz w:val="24"/>
          <w:szCs w:val="24"/>
          <w:vertAlign w:val="superscript"/>
          <w:lang w:val="en-US"/>
        </w:rPr>
        <w:t>24</w:t>
      </w:r>
      <w:r>
        <w:rPr>
          <w:rFonts w:hint="default" w:ascii="Times New Roman" w:hAnsi="Times New Roman" w:cs="Times New Roman"/>
          <w:sz w:val="24"/>
          <w:szCs w:val="24"/>
          <w:lang w:val="en-US"/>
        </w:rPr>
        <w:t xml:space="preserve"> and better than EHR machine-learning-based patient-specific AUC models (0.80)</w:t>
      </w:r>
      <w:r>
        <w:rPr>
          <w:rFonts w:hint="default" w:ascii="Times New Roman" w:hAnsi="Times New Roman" w:cs="Times New Roman"/>
          <w:sz w:val="24"/>
          <w:szCs w:val="24"/>
          <w:vertAlign w:val="superscript"/>
          <w:lang w:val="en-US"/>
        </w:rPr>
        <w:t>26</w:t>
      </w:r>
      <w:r>
        <w:rPr>
          <w:rFonts w:hint="default" w:ascii="Times New Roman" w:hAnsi="Times New Roman" w:cs="Times New Roman"/>
          <w:sz w:val="24"/>
          <w:szCs w:val="24"/>
          <w:lang w:val="en-US"/>
        </w:rPr>
        <w:t xml:space="preserve"> — exactly as expected when launching without local data, which is the scenario where a cross-country applied XGBoost model achieved an AUC of 0.96</w:t>
      </w:r>
      <w:r>
        <w:rPr>
          <w:rFonts w:hint="default" w:ascii="Times New Roman" w:hAnsi="Times New Roman" w:cs="Times New Roman"/>
          <w:sz w:val="24"/>
          <w:szCs w:val="24"/>
          <w:vertAlign w:val="superscript"/>
          <w:lang w:val="en-US"/>
        </w:rPr>
        <w:t>23</w:t>
      </w:r>
      <w:r>
        <w:rPr>
          <w:rFonts w:hint="default" w:ascii="Times New Roman" w:hAnsi="Times New Roman" w:cs="Times New Roman"/>
          <w:sz w:val="24"/>
          <w:szCs w:val="24"/>
          <w:lang w:val="en-US"/>
        </w:rPr>
        <w:t xml:space="preserve"> on this same database.</w:t>
      </w:r>
    </w:p>
    <w:p w14:paraId="06D9BA7B">
      <w:pPr>
        <w:pStyle w:val="13"/>
        <w:spacing w:line="240" w:lineRule="auto"/>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4.5 Kazakhstan Inferences and Face Validity</w:t>
      </w:r>
    </w:p>
    <w:p w14:paraId="170A246A">
      <w:pPr>
        <w:pStyle w:val="13"/>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Broken down by antibiotic class, predicted resistance was dominated by penicillins, reflecting the intrinsic ampicillin resistance of </w:t>
      </w:r>
      <w:r>
        <w:rPr>
          <w:rStyle w:val="11"/>
          <w:rFonts w:hint="default" w:ascii="Times New Roman" w:hAnsi="Times New Roman" w:cs="Times New Roman"/>
          <w:sz w:val="24"/>
          <w:szCs w:val="24"/>
          <w:lang w:val="en-US"/>
        </w:rPr>
        <w:t>K. pneumoniae</w:t>
      </w:r>
      <w:r>
        <w:rPr>
          <w:rFonts w:hint="default" w:ascii="Times New Roman" w:hAnsi="Times New Roman" w:cs="Times New Roman"/>
          <w:sz w:val="24"/>
          <w:szCs w:val="24"/>
          <w:lang w:val="en-US"/>
        </w:rPr>
        <w:t xml:space="preserve"> and </w:t>
      </w:r>
      <w:r>
        <w:rPr>
          <w:rStyle w:val="11"/>
          <w:rFonts w:hint="default" w:ascii="Times New Roman" w:hAnsi="Times New Roman" w:cs="Times New Roman"/>
          <w:sz w:val="24"/>
          <w:szCs w:val="24"/>
          <w:lang w:val="en-US"/>
        </w:rPr>
        <w:t>E. faecium</w:t>
      </w:r>
      <w:r>
        <w:rPr>
          <w:rFonts w:hint="default" w:ascii="Times New Roman" w:hAnsi="Times New Roman" w:cs="Times New Roman"/>
          <w:sz w:val="24"/>
          <w:szCs w:val="24"/>
          <w:lang w:val="en-US"/>
        </w:rPr>
        <w:t xml:space="preserve"> — a pattern the model recovered without any local data, supporting its face validity. Among the remaining classes, cephalosporins were highest for </w:t>
      </w:r>
      <w:r>
        <w:rPr>
          <w:rStyle w:val="11"/>
          <w:rFonts w:hint="default" w:ascii="Times New Roman" w:hAnsi="Times New Roman" w:cs="Times New Roman"/>
          <w:sz w:val="24"/>
          <w:szCs w:val="24"/>
          <w:lang w:val="en-US"/>
        </w:rPr>
        <w:t>A. baumannii</w:t>
      </w:r>
      <w:r>
        <w:rPr>
          <w:rFonts w:hint="default" w:ascii="Times New Roman" w:hAnsi="Times New Roman" w:cs="Times New Roman"/>
          <w:sz w:val="24"/>
          <w:szCs w:val="24"/>
          <w:lang w:val="en-US"/>
        </w:rPr>
        <w:t xml:space="preserve"> and </w:t>
      </w:r>
      <w:r>
        <w:rPr>
          <w:rStyle w:val="11"/>
          <w:rFonts w:hint="default" w:ascii="Times New Roman" w:hAnsi="Times New Roman" w:cs="Times New Roman"/>
          <w:sz w:val="24"/>
          <w:szCs w:val="24"/>
          <w:lang w:val="en-US"/>
        </w:rPr>
        <w:t>K. pneumoniae</w:t>
      </w:r>
      <w:r>
        <w:rPr>
          <w:rFonts w:hint="default" w:ascii="Times New Roman" w:hAnsi="Times New Roman" w:cs="Times New Roman"/>
          <w:sz w:val="24"/>
          <w:szCs w:val="24"/>
          <w:lang w:val="en-US"/>
        </w:rPr>
        <w:t xml:space="preserve">, and fluoroquinolones for </w:t>
      </w:r>
      <w:r>
        <w:rPr>
          <w:rStyle w:val="11"/>
          <w:rFonts w:hint="default" w:ascii="Times New Roman" w:hAnsi="Times New Roman" w:cs="Times New Roman"/>
          <w:sz w:val="24"/>
          <w:szCs w:val="24"/>
          <w:lang w:val="en-US"/>
        </w:rPr>
        <w:t>E. faecium</w:t>
      </w:r>
      <w:r>
        <w:rPr>
          <w:rFonts w:hint="default" w:ascii="Times New Roman" w:hAnsi="Times New Roman" w:cs="Times New Roman"/>
          <w:sz w:val="24"/>
          <w:szCs w:val="24"/>
          <w:lang w:val="en-US"/>
        </w:rPr>
        <w:t xml:space="preserve">. With four combinations of </w:t>
      </w:r>
      <w:r>
        <w:rPr>
          <w:rStyle w:val="11"/>
          <w:rFonts w:hint="default" w:ascii="Times New Roman" w:hAnsi="Times New Roman" w:cs="Times New Roman"/>
          <w:sz w:val="24"/>
          <w:szCs w:val="24"/>
          <w:lang w:val="en-US"/>
        </w:rPr>
        <w:t>A. baumannii</w:t>
      </w:r>
      <w:r>
        <w:rPr>
          <w:rFonts w:hint="default" w:ascii="Times New Roman" w:hAnsi="Times New Roman" w:cs="Times New Roman"/>
          <w:sz w:val="24"/>
          <w:szCs w:val="24"/>
          <w:lang w:val="en-US"/>
        </w:rPr>
        <w:t xml:space="preserve"> from a single cohort (Karaganda; Table </w:t>
      </w:r>
      <w:r>
        <w:rPr>
          <w:rFonts w:hint="default" w:ascii="Times New Roman" w:hAnsi="Times New Roman" w:cs="Times New Roman"/>
          <w:sz w:val="24"/>
          <w:szCs w:val="24"/>
          <w:lang w:val="en-US"/>
        </w:rPr>
        <w:t>6</w:t>
      </w:r>
      <w:r>
        <w:rPr>
          <w:rFonts w:hint="default" w:ascii="Times New Roman" w:hAnsi="Times New Roman" w:cs="Times New Roman"/>
          <w:sz w:val="24"/>
          <w:szCs w:val="24"/>
          <w:lang w:val="en-US"/>
        </w:rPr>
        <w:t xml:space="preserve">), absolute probabilities range from 15 to 26 percentage points off, allowing the model to confidently identify </w:t>
      </w:r>
      <w:r>
        <w:rPr>
          <w:rStyle w:val="11"/>
          <w:rFonts w:hint="default" w:ascii="Times New Roman" w:hAnsi="Times New Roman" w:cs="Times New Roman"/>
          <w:sz w:val="24"/>
          <w:szCs w:val="24"/>
          <w:lang w:val="en-US"/>
        </w:rPr>
        <w:t>A. baumannii</w:t>
      </w:r>
      <w:r>
        <w:rPr>
          <w:rFonts w:hint="default" w:ascii="Times New Roman" w:hAnsi="Times New Roman" w:cs="Times New Roman"/>
          <w:sz w:val="24"/>
          <w:szCs w:val="24"/>
          <w:lang w:val="en-US"/>
        </w:rPr>
        <w:t xml:space="preserve"> as high-risk (all predicted &gt;70%), yet demonstrating the difference in absolute probabilities in a higher-acuity subpopulation of hospitalized patients. </w:t>
      </w:r>
      <w:r>
        <w:rPr>
          <w:rStyle w:val="26"/>
          <w:rFonts w:hint="default" w:ascii="Times New Roman" w:hAnsi="Times New Roman" w:cs="Times New Roman"/>
          <w:sz w:val="24"/>
          <w:szCs w:val="24"/>
          <w:lang w:val="en-US"/>
        </w:rPr>
        <w:t>The comparison is suggestive, which is not the same as confirmation.</w:t>
      </w:r>
    </w:p>
    <w:tbl>
      <w:tblPr>
        <w:tblStyle w:val="16"/>
        <w:tblW w:w="94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4"/>
        <w:gridCol w:w="1458"/>
        <w:gridCol w:w="900"/>
        <w:gridCol w:w="852"/>
        <w:gridCol w:w="787"/>
        <w:gridCol w:w="1200"/>
        <w:gridCol w:w="1607"/>
        <w:gridCol w:w="1404"/>
      </w:tblGrid>
      <w:tr w14:paraId="4918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658135CA">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Organism</w:t>
            </w:r>
          </w:p>
        </w:tc>
        <w:tc>
          <w:tcPr>
            <w:tcW w:w="1458" w:type="dxa"/>
          </w:tcPr>
          <w:p w14:paraId="64F6898F">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Antibiotic</w:t>
            </w:r>
          </w:p>
        </w:tc>
        <w:tc>
          <w:tcPr>
            <w:tcW w:w="900" w:type="dxa"/>
          </w:tcPr>
          <w:p w14:paraId="41158FDF">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Observed_%</w:t>
            </w:r>
          </w:p>
        </w:tc>
        <w:tc>
          <w:tcPr>
            <w:tcW w:w="852" w:type="dxa"/>
          </w:tcPr>
          <w:p w14:paraId="445CAA0F">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Predicted_%</w:t>
            </w:r>
          </w:p>
        </w:tc>
        <w:tc>
          <w:tcPr>
            <w:tcW w:w="787" w:type="dxa"/>
          </w:tcPr>
          <w:p w14:paraId="388EAFF4">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Difference</w:t>
            </w:r>
          </w:p>
        </w:tc>
        <w:tc>
          <w:tcPr>
            <w:tcW w:w="1200" w:type="dxa"/>
          </w:tcPr>
          <w:p w14:paraId="4DE5D6C6">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Direction</w:t>
            </w:r>
          </w:p>
        </w:tc>
        <w:tc>
          <w:tcPr>
            <w:tcW w:w="1607" w:type="dxa"/>
          </w:tcPr>
          <w:p w14:paraId="0C00D502">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Year_range</w:t>
            </w:r>
          </w:p>
        </w:tc>
        <w:tc>
          <w:tcPr>
            <w:tcW w:w="1404" w:type="dxa"/>
          </w:tcPr>
          <w:p w14:paraId="278AD467">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Setting</w:t>
            </w:r>
          </w:p>
        </w:tc>
      </w:tr>
      <w:tr w14:paraId="5A06C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48C05066">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 baumannii</w:t>
            </w:r>
          </w:p>
        </w:tc>
        <w:tc>
          <w:tcPr>
            <w:tcW w:w="1458" w:type="dxa"/>
          </w:tcPr>
          <w:p w14:paraId="5FE50510">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Gentamicin</w:t>
            </w:r>
          </w:p>
        </w:tc>
        <w:tc>
          <w:tcPr>
            <w:tcW w:w="900" w:type="dxa"/>
          </w:tcPr>
          <w:p w14:paraId="492D9148">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88.89</w:t>
            </w:r>
          </w:p>
        </w:tc>
        <w:tc>
          <w:tcPr>
            <w:tcW w:w="852" w:type="dxa"/>
          </w:tcPr>
          <w:p w14:paraId="27669EC8">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70.4</w:t>
            </w:r>
          </w:p>
        </w:tc>
        <w:tc>
          <w:tcPr>
            <w:tcW w:w="787" w:type="dxa"/>
          </w:tcPr>
          <w:p w14:paraId="05EFEADE">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-18.5</w:t>
            </w:r>
          </w:p>
        </w:tc>
        <w:tc>
          <w:tcPr>
            <w:tcW w:w="1200" w:type="dxa"/>
          </w:tcPr>
          <w:p w14:paraId="6490CA6D">
            <w:pPr>
              <w:widowControl w:val="0"/>
              <w:shd w:val="clear" w:color="auto" w:fill="FFFFFF"/>
              <w:spacing w:before="240" w:after="24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highlight w:val="white"/>
                <w:lang w:val="en-US"/>
              </w:rPr>
              <w:t>&lt;25%</w:t>
            </w:r>
          </w:p>
        </w:tc>
        <w:tc>
          <w:tcPr>
            <w:tcW w:w="1607" w:type="dxa"/>
          </w:tcPr>
          <w:p w14:paraId="66246B61">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2022–2023</w:t>
            </w:r>
          </w:p>
        </w:tc>
        <w:tc>
          <w:tcPr>
            <w:tcW w:w="1404" w:type="dxa"/>
          </w:tcPr>
          <w:p w14:paraId="20EE2A00">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Pneumonia inpatient</w:t>
            </w:r>
          </w:p>
        </w:tc>
      </w:tr>
      <w:tr w14:paraId="5C27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5C63B2F4">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 baumannii</w:t>
            </w:r>
          </w:p>
        </w:tc>
        <w:tc>
          <w:tcPr>
            <w:tcW w:w="1458" w:type="dxa"/>
          </w:tcPr>
          <w:p w14:paraId="129A070E">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Ceftriaxone</w:t>
            </w:r>
          </w:p>
        </w:tc>
        <w:tc>
          <w:tcPr>
            <w:tcW w:w="900" w:type="dxa"/>
          </w:tcPr>
          <w:p w14:paraId="5452015A">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65.38</w:t>
            </w:r>
          </w:p>
        </w:tc>
        <w:tc>
          <w:tcPr>
            <w:tcW w:w="852" w:type="dxa"/>
          </w:tcPr>
          <w:p w14:paraId="2FD64D97">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84.1</w:t>
            </w:r>
          </w:p>
        </w:tc>
        <w:tc>
          <w:tcPr>
            <w:tcW w:w="787" w:type="dxa"/>
          </w:tcPr>
          <w:p w14:paraId="390F5A91">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18.7</w:t>
            </w:r>
          </w:p>
        </w:tc>
        <w:tc>
          <w:tcPr>
            <w:tcW w:w="1200" w:type="dxa"/>
          </w:tcPr>
          <w:p w14:paraId="4922CF49">
            <w:pPr>
              <w:widowControl w:val="0"/>
              <w:shd w:val="clear" w:color="auto" w:fill="FFFFFF"/>
              <w:spacing w:before="240" w:after="24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highlight w:val="white"/>
                <w:lang w:val="en-US"/>
              </w:rPr>
              <w:t>&lt;25%</w:t>
            </w:r>
          </w:p>
        </w:tc>
        <w:tc>
          <w:tcPr>
            <w:tcW w:w="1607" w:type="dxa"/>
          </w:tcPr>
          <w:p w14:paraId="3CBB44CD">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2022–2023</w:t>
            </w:r>
          </w:p>
        </w:tc>
        <w:tc>
          <w:tcPr>
            <w:tcW w:w="1404" w:type="dxa"/>
          </w:tcPr>
          <w:p w14:paraId="14C40CC7">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Pneumonia inpatient</w:t>
            </w:r>
          </w:p>
        </w:tc>
      </w:tr>
      <w:tr w14:paraId="51B4A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75C5576B">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 baumannii</w:t>
            </w:r>
          </w:p>
        </w:tc>
        <w:tc>
          <w:tcPr>
            <w:tcW w:w="1458" w:type="dxa"/>
          </w:tcPr>
          <w:p w14:paraId="7368A3FD">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Ciprofloxacin</w:t>
            </w:r>
          </w:p>
        </w:tc>
        <w:tc>
          <w:tcPr>
            <w:tcW w:w="900" w:type="dxa"/>
          </w:tcPr>
          <w:p w14:paraId="5B50FAFD">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65.38</w:t>
            </w:r>
          </w:p>
        </w:tc>
        <w:tc>
          <w:tcPr>
            <w:tcW w:w="852" w:type="dxa"/>
          </w:tcPr>
          <w:p w14:paraId="0A5CCBA7">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80.6</w:t>
            </w:r>
          </w:p>
        </w:tc>
        <w:tc>
          <w:tcPr>
            <w:tcW w:w="787" w:type="dxa"/>
          </w:tcPr>
          <w:p w14:paraId="0117A163">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15.2</w:t>
            </w:r>
          </w:p>
        </w:tc>
        <w:tc>
          <w:tcPr>
            <w:tcW w:w="1200" w:type="dxa"/>
          </w:tcPr>
          <w:p w14:paraId="28BD2AA6">
            <w:pPr>
              <w:widowControl w:val="0"/>
              <w:shd w:val="clear" w:color="auto" w:fill="FFFFFF"/>
              <w:spacing w:before="240" w:after="24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highlight w:val="white"/>
                <w:lang w:val="en-US"/>
              </w:rPr>
              <w:t>&lt;25%</w:t>
            </w:r>
          </w:p>
        </w:tc>
        <w:tc>
          <w:tcPr>
            <w:tcW w:w="1607" w:type="dxa"/>
          </w:tcPr>
          <w:p w14:paraId="1AC84918">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2022–2023</w:t>
            </w:r>
          </w:p>
        </w:tc>
        <w:tc>
          <w:tcPr>
            <w:tcW w:w="1404" w:type="dxa"/>
          </w:tcPr>
          <w:p w14:paraId="1AF1E65B">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Pneumonia inpatient</w:t>
            </w:r>
          </w:p>
        </w:tc>
      </w:tr>
      <w:tr w14:paraId="1D985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0E8410DA">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 baumannii</w:t>
            </w:r>
          </w:p>
        </w:tc>
        <w:tc>
          <w:tcPr>
            <w:tcW w:w="1458" w:type="dxa"/>
          </w:tcPr>
          <w:p w14:paraId="53B1CCFD">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Fluoroquinolones (class)</w:t>
            </w:r>
          </w:p>
        </w:tc>
        <w:tc>
          <w:tcPr>
            <w:tcW w:w="900" w:type="dxa"/>
          </w:tcPr>
          <w:p w14:paraId="7A79633A">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100.0</w:t>
            </w:r>
          </w:p>
        </w:tc>
        <w:tc>
          <w:tcPr>
            <w:tcW w:w="852" w:type="dxa"/>
          </w:tcPr>
          <w:p w14:paraId="61862ADA">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74.2</w:t>
            </w:r>
          </w:p>
        </w:tc>
        <w:tc>
          <w:tcPr>
            <w:tcW w:w="787" w:type="dxa"/>
          </w:tcPr>
          <w:p w14:paraId="01AD0E6B">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-25.8</w:t>
            </w:r>
          </w:p>
        </w:tc>
        <w:tc>
          <w:tcPr>
            <w:tcW w:w="1200" w:type="dxa"/>
          </w:tcPr>
          <w:p w14:paraId="47EE726C">
            <w:pPr>
              <w:widowControl w:val="0"/>
              <w:shd w:val="clear" w:color="auto" w:fill="FFFFFF"/>
              <w:spacing w:before="240" w:after="24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highlight w:val="white"/>
                <w:lang w:val="en-US"/>
              </w:rPr>
              <w:t>&gt;25%</w:t>
            </w:r>
          </w:p>
        </w:tc>
        <w:tc>
          <w:tcPr>
            <w:tcW w:w="1607" w:type="dxa"/>
          </w:tcPr>
          <w:p w14:paraId="5F0A7751">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2022–2023</w:t>
            </w:r>
          </w:p>
        </w:tc>
        <w:tc>
          <w:tcPr>
            <w:tcW w:w="1404" w:type="dxa"/>
          </w:tcPr>
          <w:p w14:paraId="650BA610">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Pneumonia inpatient</w:t>
            </w:r>
          </w:p>
        </w:tc>
      </w:tr>
    </w:tbl>
    <w:p w14:paraId="1FEB37E0">
      <w:pPr>
        <w:shd w:val="clear" w:color="auto" w:fill="FFFFFF"/>
        <w:spacing w:before="240" w:after="240" w:line="240" w:lineRule="auto"/>
        <w:rPr>
          <w:rFonts w:hint="default" w:ascii="Times New Roman" w:hAnsi="Times New Roman" w:eastAsia="Times New Roman" w:cs="Times New Roman"/>
          <w:i/>
          <w:iCs/>
          <w:sz w:val="24"/>
          <w:szCs w:val="24"/>
          <w:highlight w:val="white"/>
        </w:rPr>
      </w:pPr>
    </w:p>
    <w:p w14:paraId="1F2EC199">
      <w:pPr>
        <w:shd w:val="clear" w:color="auto" w:fill="FFFFFF"/>
        <w:spacing w:before="240" w:after="240" w:line="240" w:lineRule="auto"/>
        <w:rPr>
          <w:rFonts w:hint="default" w:ascii="Times New Roman" w:hAnsi="Times New Roman" w:eastAsia="Times New Roman" w:cs="Times New Roman"/>
          <w:i/>
          <w:iCs/>
          <w:sz w:val="24"/>
          <w:szCs w:val="24"/>
          <w:highlight w:val="white"/>
          <w:lang w:val="en-US"/>
        </w:rPr>
      </w:pPr>
      <w:r>
        <w:rPr>
          <w:rFonts w:hint="default" w:ascii="Times New Roman" w:hAnsi="Times New Roman" w:eastAsia="Times New Roman" w:cs="Times New Roman"/>
          <w:i/>
          <w:iCs/>
          <w:sz w:val="24"/>
          <w:szCs w:val="24"/>
          <w:highlight w:val="white"/>
        </w:rPr>
        <w:t xml:space="preserve">Table </w:t>
      </w:r>
      <w:r>
        <w:rPr>
          <w:rFonts w:hint="default" w:ascii="Times New Roman" w:hAnsi="Times New Roman" w:eastAsia="Times New Roman" w:cs="Times New Roman"/>
          <w:i/>
          <w:iCs/>
          <w:sz w:val="24"/>
          <w:szCs w:val="24"/>
          <w:highlight w:val="white"/>
          <w:lang w:val="en-US"/>
        </w:rPr>
        <w:t>6</w:t>
      </w:r>
      <w:r>
        <w:rPr>
          <w:rFonts w:hint="default" w:ascii="Times New Roman" w:hAnsi="Times New Roman" w:eastAsia="Times New Roman" w:cs="Times New Roman"/>
          <w:i/>
          <w:iCs/>
          <w:sz w:val="24"/>
          <w:szCs w:val="24"/>
          <w:highlight w:val="white"/>
        </w:rPr>
        <w:t>: Face validity comparison of predicted versus observed A. baumannii resistance rates from Strochkov et al.</w:t>
      </w:r>
      <w:r>
        <w:rPr>
          <w:rFonts w:hint="default" w:ascii="Times New Roman" w:hAnsi="Times New Roman" w:eastAsia="Times New Roman" w:cs="Times New Roman"/>
          <w:i/>
          <w:iCs/>
          <w:sz w:val="24"/>
          <w:szCs w:val="24"/>
          <w:highlight w:val="white"/>
          <w:vertAlign w:val="superscript"/>
        </w:rPr>
        <w:t>27</w:t>
      </w:r>
      <w:r>
        <w:rPr>
          <w:rFonts w:hint="default" w:ascii="Times New Roman" w:hAnsi="Times New Roman" w:eastAsia="Times New Roman" w:cs="Times New Roman"/>
          <w:i/>
          <w:iCs/>
          <w:sz w:val="24"/>
          <w:szCs w:val="24"/>
          <w:highlight w:val="white"/>
        </w:rPr>
        <w:t>.</w:t>
      </w:r>
      <w:r>
        <w:rPr>
          <w:rFonts w:hint="default" w:ascii="Times New Roman" w:hAnsi="Times New Roman" w:eastAsia="Times New Roman" w:cs="Times New Roman"/>
          <w:i/>
          <w:iCs/>
          <w:sz w:val="24"/>
          <w:szCs w:val="24"/>
          <w:highlight w:val="white"/>
          <w:lang w:val="en-US"/>
        </w:rPr>
        <w:t xml:space="preserve"> In Karaganda. </w:t>
      </w:r>
    </w:p>
    <w:p w14:paraId="25F05373">
      <w:pPr>
        <w:shd w:val="clear" w:color="auto" w:fill="FFFFFF"/>
        <w:spacing w:before="240" w:after="240" w:line="240" w:lineRule="auto"/>
        <w:rPr>
          <w:rFonts w:hint="default" w:ascii="Times New Roman" w:hAnsi="Times New Roman" w:eastAsia="Times New Roman" w:cs="Times New Roman"/>
          <w:b/>
          <w:sz w:val="24"/>
          <w:szCs w:val="24"/>
          <w:highlight w:val="white"/>
        </w:rPr>
      </w:pPr>
      <w:bookmarkStart w:id="0" w:name="_cay9blk0svag" w:colFirst="0" w:colLast="0"/>
      <w:bookmarkEnd w:id="0"/>
      <w:r>
        <w:rPr>
          <w:rFonts w:hint="default" w:ascii="Times New Roman" w:hAnsi="Times New Roman" w:eastAsia="Times New Roman" w:cs="Times New Roman"/>
          <w:b/>
          <w:sz w:val="24"/>
          <w:szCs w:val="24"/>
          <w:highlight w:val="white"/>
        </w:rPr>
        <w:t>4.6 Limitations</w:t>
      </w:r>
    </w:p>
    <w:p w14:paraId="1325694E">
      <w:pPr>
        <w:shd w:val="clear" w:color="auto" w:fill="FFFFFF"/>
        <w:spacing w:before="240" w:after="24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The chief limitation is that the model was not trained or tested using isolate-level information from Kazakhstan, and the results reported for the country are preliminary and will need to be tested using future data. Some partial resistance was not represented, as the partially resistant isolates were not included and some antimicrobial medicines with wider usage in the area were not represented. The data in this section are mostly drawn from high-income groups, and so absolute probabilities should be treated with caution rather than as validated accuracy; the confidence intervals in Table 6 are based on prediction consistency rather than on an absolute measure of the accuracy of the predictions. The upward temporal trend predictions, ranked as hypothesis-generating signals, are based on a limited number of annual observations (7 per organism) and were significant only under Benjamini–Hochberg correction (pBH = 0.049) but not Bonferroni correction. Finally, hyperparameter tuning was performed on the entire dataset rather than on each fold, which may overestimate LOCO-AUC, but no single country exceeds 5% of the data in any fold</w:t>
      </w:r>
      <w:r>
        <w:rPr>
          <w:rFonts w:hint="default" w:ascii="Times New Roman" w:hAnsi="Times New Roman" w:eastAsia="Times New Roman" w:cs="Times New Roman"/>
          <w:sz w:val="24"/>
          <w:szCs w:val="24"/>
          <w:highlight w:val="white"/>
          <w:vertAlign w:val="superscript"/>
        </w:rPr>
        <w:t>28</w:t>
      </w:r>
      <w:r>
        <w:rPr>
          <w:rFonts w:hint="default" w:ascii="Times New Roman" w:hAnsi="Times New Roman" w:eastAsia="Times New Roman" w:cs="Times New Roman"/>
          <w:sz w:val="24"/>
          <w:szCs w:val="24"/>
          <w:highlight w:val="white"/>
        </w:rPr>
        <w:t>.</w:t>
      </w:r>
    </w:p>
    <w:p w14:paraId="438A0BCA">
      <w:pPr>
        <w:shd w:val="clear" w:color="auto" w:fill="FFFFFF"/>
        <w:spacing w:before="240" w:after="240" w:line="240" w:lineRule="auto"/>
        <w:rPr>
          <w:rFonts w:hint="default" w:ascii="Times New Roman" w:hAnsi="Times New Roman" w:eastAsia="Times New Roman" w:cs="Times New Roman"/>
          <w:b/>
          <w:sz w:val="24"/>
          <w:szCs w:val="24"/>
          <w:highlight w:val="white"/>
        </w:rPr>
      </w:pPr>
      <w:r>
        <w:rPr>
          <w:rFonts w:hint="default" w:ascii="Times New Roman" w:hAnsi="Times New Roman" w:eastAsia="Times New Roman" w:cs="Times New Roman"/>
          <w:b/>
          <w:sz w:val="24"/>
          <w:szCs w:val="24"/>
          <w:highlight w:val="white"/>
        </w:rPr>
        <w:t>4.7 Future Directions</w:t>
      </w:r>
    </w:p>
    <w:p w14:paraId="5ED88107">
      <w:pPr>
        <w:shd w:val="clear" w:color="auto" w:fill="FFFFFF"/>
        <w:spacing w:before="240" w:after="24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An immediate validation (100–200 local isolates of high-risk species (</w:t>
      </w:r>
      <w:r>
        <w:rPr>
          <w:rFonts w:hint="default" w:ascii="Times New Roman" w:hAnsi="Times New Roman" w:eastAsia="Times New Roman" w:cs="Times New Roman"/>
          <w:i/>
          <w:iCs/>
          <w:sz w:val="24"/>
          <w:szCs w:val="24"/>
          <w:highlight w:val="white"/>
        </w:rPr>
        <w:t>A. baumannii</w:t>
      </w:r>
      <w:r>
        <w:rPr>
          <w:rFonts w:hint="default" w:ascii="Times New Roman" w:hAnsi="Times New Roman" w:eastAsia="Times New Roman" w:cs="Times New Roman"/>
          <w:sz w:val="24"/>
          <w:szCs w:val="24"/>
          <w:highlight w:val="white"/>
        </w:rPr>
        <w:t>, </w:t>
      </w:r>
      <w:r>
        <w:rPr>
          <w:rFonts w:hint="default" w:ascii="Times New Roman" w:hAnsi="Times New Roman" w:eastAsia="Times New Roman" w:cs="Times New Roman"/>
          <w:i/>
          <w:iCs/>
          <w:sz w:val="24"/>
          <w:szCs w:val="24"/>
          <w:highlight w:val="white"/>
        </w:rPr>
        <w:t>K. pneumoniae</w:t>
      </w:r>
      <w:r>
        <w:rPr>
          <w:rFonts w:hint="default" w:ascii="Times New Roman" w:hAnsi="Times New Roman" w:eastAsia="Times New Roman" w:cs="Times New Roman"/>
          <w:sz w:val="24"/>
          <w:szCs w:val="24"/>
          <w:highlight w:val="white"/>
        </w:rPr>
        <w:t>, and </w:t>
      </w:r>
      <w:r>
        <w:rPr>
          <w:rFonts w:hint="default" w:ascii="Times New Roman" w:hAnsi="Times New Roman" w:eastAsia="Times New Roman" w:cs="Times New Roman"/>
          <w:i/>
          <w:iCs/>
          <w:sz w:val="24"/>
          <w:szCs w:val="24"/>
          <w:highlight w:val="white"/>
        </w:rPr>
        <w:t>E. faecium</w:t>
      </w:r>
      <w:r>
        <w:rPr>
          <w:rFonts w:hint="default" w:ascii="Times New Roman" w:hAnsi="Times New Roman" w:eastAsia="Times New Roman" w:cs="Times New Roman"/>
          <w:sz w:val="24"/>
          <w:szCs w:val="24"/>
          <w:highlight w:val="white"/>
        </w:rPr>
        <w:t>)) will be performed to compare with model estimates, undertaken with a narrow band of ±10 per cent compared with the wider band of ±25 per cent used for the retrospective validation. The framework can be extended, not only to additional sectors that have good national statistical coverage such as much of Central Asia, sub-Saharan Africa, and Southeast Asia, but also to other areas more broadly.</w:t>
      </w:r>
    </w:p>
    <w:p w14:paraId="559DB11D">
      <w:pPr>
        <w:shd w:val="clear" w:color="auto" w:fill="FFFFFF"/>
        <w:spacing w:before="240" w:after="240" w:line="240" w:lineRule="auto"/>
        <w:rPr>
          <w:rFonts w:hint="default" w:ascii="Times New Roman" w:hAnsi="Times New Roman" w:eastAsia="Times New Roman" w:cs="Times New Roman"/>
          <w:b/>
          <w:bCs/>
          <w:sz w:val="24"/>
          <w:szCs w:val="24"/>
          <w:highlight w:val="white"/>
        </w:rPr>
      </w:pPr>
      <w:r>
        <w:rPr>
          <w:rFonts w:hint="default" w:ascii="Times New Roman" w:hAnsi="Times New Roman" w:eastAsia="Times New Roman" w:cs="Times New Roman"/>
          <w:b/>
          <w:bCs/>
          <w:sz w:val="24"/>
          <w:szCs w:val="24"/>
          <w:highlight w:val="white"/>
        </w:rPr>
        <w:t>Conclusion</w:t>
      </w:r>
    </w:p>
    <w:p w14:paraId="723AC343">
      <w:pPr>
        <w:shd w:val="clear" w:color="auto" w:fill="FFFFFF"/>
        <w:spacing w:before="240" w:after="28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Following a cross-country methodology based on non-genetic information, we estimated the probability of antimicrobial resistance (AMR) in Kazakhstan, where we lacked direct information from local isolates, relying only on probabilities derived from global data on AM resistance, antibiotic use, and macro-economics. The CatBoost model performed best, with 11.3 million susceptibility results from 1.08 million isolates from 85 countries in the study, achieving an AUC of 0.849, an AUPRC of 0.650, and a recall of 0.797, identifying </w:t>
      </w:r>
      <w:r>
        <w:rPr>
          <w:rFonts w:hint="default" w:ascii="Times New Roman" w:hAnsi="Times New Roman" w:eastAsia="Times New Roman" w:cs="Times New Roman"/>
          <w:i/>
          <w:iCs/>
          <w:sz w:val="24"/>
          <w:szCs w:val="24"/>
          <w:highlight w:val="white"/>
        </w:rPr>
        <w:t>A. baumannii</w:t>
      </w:r>
      <w:r>
        <w:rPr>
          <w:rFonts w:hint="default" w:ascii="Times New Roman" w:hAnsi="Times New Roman" w:eastAsia="Times New Roman" w:cs="Times New Roman"/>
          <w:sz w:val="24"/>
          <w:szCs w:val="24"/>
          <w:highlight w:val="white"/>
        </w:rPr>
        <w:t>, </w:t>
      </w:r>
      <w:r>
        <w:rPr>
          <w:rFonts w:hint="default" w:ascii="Times New Roman" w:hAnsi="Times New Roman" w:eastAsia="Times New Roman" w:cs="Times New Roman"/>
          <w:i/>
          <w:iCs/>
          <w:sz w:val="24"/>
          <w:szCs w:val="24"/>
          <w:highlight w:val="white"/>
        </w:rPr>
        <w:t>K. pneumoniae</w:t>
      </w:r>
      <w:r>
        <w:rPr>
          <w:rFonts w:hint="default" w:ascii="Times New Roman" w:hAnsi="Times New Roman" w:eastAsia="Times New Roman" w:cs="Times New Roman"/>
          <w:sz w:val="24"/>
          <w:szCs w:val="24"/>
          <w:highlight w:val="white"/>
        </w:rPr>
        <w:t>, and </w:t>
      </w:r>
      <w:r>
        <w:rPr>
          <w:rFonts w:hint="default" w:ascii="Times New Roman" w:hAnsi="Times New Roman" w:eastAsia="Times New Roman" w:cs="Times New Roman"/>
          <w:i/>
          <w:iCs/>
          <w:sz w:val="24"/>
          <w:szCs w:val="24"/>
          <w:highlight w:val="white"/>
        </w:rPr>
        <w:t>E. faecium</w:t>
      </w:r>
      <w:r>
        <w:rPr>
          <w:rFonts w:hint="default" w:ascii="Times New Roman" w:hAnsi="Times New Roman" w:eastAsia="Times New Roman" w:cs="Times New Roman"/>
          <w:sz w:val="24"/>
          <w:szCs w:val="24"/>
          <w:highlight w:val="white"/>
        </w:rPr>
        <w:t> as the top-risk pathogens in Kazakhstan. The framework does not replace laboratory surveillance but is a hypothesis-generating screening tool that prioritises which combinations to validate first. If surveillance is lacking, prediction need not be: global information can serve as a provisional map of resistance risk to determine where to collect the first local samples.</w:t>
      </w:r>
    </w:p>
    <w:p w14:paraId="23BADF4B">
      <w:pPr>
        <w:spacing w:before="240" w:after="240" w:line="240" w:lineRule="auto"/>
        <w:rPr>
          <w:rFonts w:hint="default" w:ascii="Times New Roman" w:hAnsi="Times New Roman" w:eastAsia="Times New Roman" w:cs="Times New Roman"/>
          <w:sz w:val="24"/>
          <w:szCs w:val="24"/>
          <w:highlight w:val="white"/>
          <w:lang w:val="en-US"/>
        </w:rPr>
      </w:pPr>
      <w:r>
        <w:rPr>
          <w:rFonts w:hint="default" w:ascii="Times New Roman" w:hAnsi="Times New Roman" w:eastAsia="Times New Roman" w:cs="Times New Roman"/>
          <w:b/>
          <w:bCs w:val="0"/>
          <w:sz w:val="24"/>
          <w:szCs w:val="24"/>
          <w:highlight w:val="white"/>
        </w:rPr>
        <w:t>Acknowledgements</w:t>
      </w:r>
      <w:r>
        <w:rPr>
          <w:rFonts w:hint="default" w:ascii="Times New Roman" w:hAnsi="Times New Roman" w:eastAsia="Times New Roman" w:cs="Times New Roman"/>
          <w:bCs/>
          <w:sz w:val="24"/>
          <w:szCs w:val="24"/>
          <w:highlight w:val="white"/>
        </w:rPr>
        <w:t xml:space="preserve"> </w:t>
      </w:r>
      <w:bookmarkStart w:id="1" w:name="_GoBack"/>
      <w:bookmarkEnd w:id="1"/>
    </w:p>
    <w:p w14:paraId="1000E577">
      <w:pPr>
        <w:pStyle w:val="4"/>
        <w:keepNext w:val="0"/>
        <w:keepLines w:val="0"/>
        <w:spacing w:line="240" w:lineRule="auto"/>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R</w:t>
      </w:r>
      <w:r>
        <w:rPr>
          <w:rFonts w:hint="default" w:ascii="Times New Roman" w:hAnsi="Times New Roman" w:cs="Times New Roman"/>
          <w:b/>
          <w:bCs w:val="0"/>
          <w:sz w:val="24"/>
          <w:szCs w:val="24"/>
        </w:rPr>
        <w:t>eference</w:t>
      </w:r>
      <w:r>
        <w:rPr>
          <w:rFonts w:hint="default" w:ascii="Times New Roman" w:hAnsi="Times New Roman" w:cs="Times New Roman"/>
          <w:b/>
          <w:bCs w:val="0"/>
          <w:sz w:val="24"/>
          <w:szCs w:val="24"/>
          <w:lang w:val="en-US"/>
        </w:rPr>
        <w:t xml:space="preserve">s </w:t>
      </w:r>
    </w:p>
    <w:p w14:paraId="6C2839F1">
      <w:pPr>
        <w:pStyle w:val="13"/>
        <w:numPr>
          <w:ilvl w:val="0"/>
          <w:numId w:val="1"/>
        </w:numPr>
        <w:spacing w:line="240" w:lineRule="auto"/>
        <w:rPr>
          <w:rFonts w:hint="default" w:ascii="Times New Roman" w:hAnsi="Times New Roman" w:cs="Times New Roman"/>
          <w:sz w:val="24"/>
          <w:szCs w:val="24"/>
        </w:rPr>
      </w:pPr>
      <w:r>
        <w:rPr>
          <w:rStyle w:val="26"/>
          <w:rFonts w:hint="default" w:ascii="Times New Roman" w:hAnsi="Times New Roman" w:cs="Times New Roman"/>
          <w:sz w:val="24"/>
          <w:szCs w:val="24"/>
          <w:lang w:val="en-US"/>
        </w:rPr>
        <w:t>M. Naghavi, S. E. Vollset, K. S. Ikuta, et al.</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[GBD 2021 Antimicrobial Resistance Collaborators].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Global burden of bacterial antimicrobial resistance 1990–2021: a systematic analysis with forecasts to 2050.</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rPr>
        <w:t>The Lancet.</w:t>
      </w:r>
      <w:r>
        <w:rPr>
          <w:rFonts w:hint="default" w:ascii="Times New Roman" w:hAnsi="Times New Roman" w:cs="Times New Roman"/>
          <w:sz w:val="24"/>
          <w:szCs w:val="24"/>
        </w:rPr>
        <w:t xml:space="preserve"> </w:t>
      </w:r>
      <w:r>
        <w:rPr>
          <w:rStyle w:val="26"/>
          <w:rFonts w:hint="default" w:ascii="Times New Roman" w:hAnsi="Times New Roman" w:cs="Times New Roman"/>
          <w:sz w:val="24"/>
          <w:szCs w:val="24"/>
        </w:rPr>
        <w:t>Vol.</w:t>
      </w:r>
      <w:r>
        <w:rPr>
          <w:rFonts w:hint="default" w:ascii="Times New Roman" w:hAnsi="Times New Roman" w:cs="Times New Roman"/>
          <w:sz w:val="24"/>
          <w:szCs w:val="24"/>
        </w:rPr>
        <w:t xml:space="preserve"> </w:t>
      </w:r>
      <w:r>
        <w:rPr>
          <w:rStyle w:val="26"/>
          <w:rFonts w:hint="default" w:ascii="Times New Roman" w:hAnsi="Times New Roman" w:cs="Times New Roman"/>
          <w:sz w:val="24"/>
          <w:szCs w:val="24"/>
        </w:rPr>
        <w:t>404, pg.</w:t>
      </w:r>
      <w:r>
        <w:rPr>
          <w:rFonts w:hint="default" w:ascii="Times New Roman" w:hAnsi="Times New Roman" w:cs="Times New Roman"/>
          <w:sz w:val="24"/>
          <w:szCs w:val="24"/>
        </w:rPr>
        <w:t xml:space="preserve"> </w:t>
      </w:r>
      <w:r>
        <w:rPr>
          <w:rStyle w:val="26"/>
          <w:rFonts w:hint="default" w:ascii="Times New Roman" w:hAnsi="Times New Roman" w:cs="Times New Roman"/>
          <w:sz w:val="24"/>
          <w:szCs w:val="24"/>
        </w:rPr>
        <w:t xml:space="preserve">1199–1226, 2024,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"https://doi.org/10.1016/S0140-6736(24)01867-1" \t "_blank" </w:instrText>
      </w:r>
      <w:r>
        <w:rPr>
          <w:rFonts w:hint="default" w:ascii="Times New Roman" w:hAnsi="Times New Roman" w:cs="Times New Roman"/>
          <w:sz w:val="24"/>
          <w:szCs w:val="24"/>
        </w:rPr>
        <w:fldChar w:fldCharType="separate"/>
      </w:r>
      <w:r>
        <w:rPr>
          <w:rStyle w:val="26"/>
          <w:rFonts w:hint="default" w:ascii="Times New Roman" w:hAnsi="Times New Roman" w:cs="Times New Roman"/>
          <w:color w:val="0000FF"/>
          <w:sz w:val="24"/>
          <w:szCs w:val="24"/>
          <w:u w:val="single"/>
        </w:rPr>
        <w:t>https://doi.org/10.1016/S0140-6736(24)01867-1</w:t>
      </w:r>
      <w:r>
        <w:rPr>
          <w:rStyle w:val="26"/>
          <w:rFonts w:hint="default" w:ascii="Times New Roman" w:hAnsi="Times New Roman" w:cs="Times New Roman"/>
          <w:color w:val="0000FF"/>
          <w:sz w:val="24"/>
          <w:szCs w:val="24"/>
          <w:u w:val="single"/>
        </w:rPr>
        <w:fldChar w:fldCharType="end"/>
      </w:r>
      <w:r>
        <w:rPr>
          <w:rStyle w:val="26"/>
          <w:rFonts w:hint="default" w:ascii="Times New Roman" w:hAnsi="Times New Roman" w:cs="Times New Roman"/>
          <w:sz w:val="24"/>
          <w:szCs w:val="24"/>
        </w:rPr>
        <w:t>.</w:t>
      </w:r>
    </w:p>
    <w:p w14:paraId="0F5833F5">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J. O'Neill. Tackling drug-resistant infections globally: final report and recommendations. The Review on Antimicrobial Resistance, 2016,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"https://amr-review.org/"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https://amr-review.org/</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2B81607D">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World Bank. Drug-resistant infections: a threat to our economic future. World Bank, Washington, DC, 2017,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"http://hdl.handle.net/10986/26707"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http://hdl.handle.net/10986/26707</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04EFCC9">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 Laxminarayan, A. Duse, C. Wattal, A. K. M. Zaidi, H. F. L. Wertheim, N. Sumpradit, E. Vlieghe, G. L. Hara, I. M. Gould, H. Goossens, C. Greko, A. D. So, M. Bigdeli, G. Tomson, W. Woodhouse, E. Ombaka, A. Q. Peralta, F. N. Qamar, F. Mir, [...], O. Cars. Antibiotic resistance — the need for global solutions. The Lancet Infectious Diseases. Vol. 13, pg. 1057–1098, 2013,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"https://doi.org/10.1016/S1473-3099(13)70%EE%80%80318-9"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https://doi.org/10.1016/S1473-3099(13)70318-9</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7FF3743A">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Y. Semenova, A. Yergaliyeva, A. Aimurziyeva, A. Manatova, A. Kuntuganova, L. Makalkina, N. Aldiyarova, D. Semenov, L. Lim. A nationwide evaluation of antibiotic consumption in Kazakhstan from 2019 to 2023. Antibiotics. Vol. 13, Article 1123, 2024,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"https://doi.org/10.3390/anti%EE%80%80biotics13121123"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https://doi.org/10.3390/antibiotics13121123</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64AB7947">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 R. MacFadden, S. F. McGough, D. Fisman, M. Santillana, J. S. Brownstein. Antibiotic resistance increases with local temperature. Nature Climate Change. Vol. 8, pg. 510–514, 2018,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"https://doi.org/10.1038/s%EE%80%8041558-018-0161-6"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https://doi.org/10.1038/s41558-018-0161-6</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78CD6A6">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Pfizer. ATLAS database [data set]. Vivli, 2023,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"https://vivli.org/"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https://vivli.org/</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472AAC3F">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Shionogi. SIDERO-WT database [data set]. Vivli, 2023,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"https://vivli.org/"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https://vivli.org/</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2F3B38E4">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 Wang, H. Chen, Y. Zhang, Y. Tian, X. Hu, J. Wu, X. Li, H. Jia, H. Wang, C. Yu, Y. Yang, L. Fang, H. Song. Global antibiotic consumption and regional antimicrobial resistance, 2010–21: an analysis of pharmaceutical sales and antimicrobial resistance surveillance data. Lancet Global Health. Vol. 13, pg. e1880–e1891,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"https://doi.org/10.1016/S2214-109X(25)00%EE%80%80308-0"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https://doi.org/10.1016/S2214-109X(25)00308-0</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6E2BCC0A">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G. Zhussupova, D. Utepova, G. Orazova, S. Zhaldybayeva, G. Skvirskaya, K. Tossekbayev. Evaluation of antibiotic use in Kazakhstan for the period 2017–2019 based on WHO Access, Watch and Reserve classification (AWaRe 2019). Antibiotics. Vol. 10, Article 58, 2021,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"https://doi.org/10.3390/antibi%EE%80%80otics10010058"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https://doi.org/10.3390/antibiotics10010058</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384DB056">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 Kassym, A. Kussainova, D. Semenov, A. Aimurziyeva, S. Uzbekova, Y. Semenova. National trends in azithromycin consumption during 2017–2023 in Kazakhstan: impact of the COVID-19 pandemic and the imperative for enhanced clinical guidelines. Scientific Reports. Vol. 15, Article 6309,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"https://doi.org/10.1038/s41598-025-91216%EE%80%80-4"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https://doi.org/10.1038/s41598-025-91216-4</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96420E8">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 Lim, L. Kassym, A. Kussainova, B. Aubakirova, Y. Semenova, A. Jakupi. Optimizing antibiotic stewardship and reducing antimicrobial resistance in Central Asia: a study protocol for evidence-based practice and policy. PLoS ONE. Vol. 20, Article e0307784,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"https://doi.org/10.1371/journal.pone.030%EE%80%807784"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https://doi.org/10.1371/journal.pone.0307784</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38A92103">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World Bank. World Development Indicators [data set]. 2023,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"https://data.worldbank.org/"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https://data.worldbank.org/</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26EF7169">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Our World in Data. Monthly average surface temperature [data set]. 2023,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"https://ourworldindata.org/grapher/avera%EE%80%80ge-monthly-surface-temperature"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https://ourworldindata.org/grapher/average-monthly-surface-temperature</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65F70D65">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World Health Organization. AWaRe classification of antibiotics. 2023,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"https://www.who.int/publications/i/item/%EE%80%80WHO-MHP-HPS-EML-2023.04"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https://www.who.int/publications/i/item/WHO-MHP-HPS-EML-2023.04</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4B37CBB0">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European Committee on Antimicrobial Susceptibility Testing. Breakpoint tables for interpretation of MICs and zone diameters, version 13.0. 2023,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"http://www.eucast.org"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http://www.eucast.org</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41B1AB71">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Z. Kosherova, D. Zhazykhbayeva, A. Aimurziyeva, D. Bayesheva, Y. Semenova. The implementation of antimicrobial consumption surveillance and stewardship in human healthcare in post-Soviet states: a systematic review. Antibiotics. Vol. 14, Article 749,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"https://doi.org/10.3390/antib%EE%80%80iotics14080749"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https://doi.org/10.3390/antibiotics14080749</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150202A1">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 He, E. A. Garcia. Learning from imbalanced data. IEEE Transactions on Knowledge and Data Engineering. Vol. 21, pg. 1263–1284, 2009,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"https://doi.org/10.1109/TKDE.2008.%EE%80%80239"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https://doi.org/10.1109/TKDE.2008.239</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6E5259B">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E. R. DeLong, D. M. DeLong, D. L. Clarke-Pearson. Comparing the areas under two or more correlated receiver operating characteristic curves: a nonparametric approach. Biometrics. Vol. 44, pg. 837–845, 1988.</w:t>
      </w:r>
    </w:p>
    <w:p w14:paraId="61942B7B">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S. M. Lundberg, S.-I. Lee. A unified approach to interpreting model predictions. Advances in Neural Information Processing Systems. Vol. 30, pg. 4765–4774, 2017.</w:t>
      </w:r>
    </w:p>
    <w:p w14:paraId="284B45B6">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 H. Kollef, A. F. Shorr, M. Bassetti, J.-F. Timsit, S. T. Micek, A. P. Michelson, J. Garnacho-Montero. Timing of antibiotic therapy in the ICU. Critical Care. Vol. 25, Article 360, 2021,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"https://doi.org/10.1186/s13054-021-03787%EE%80%80-z"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https://doi.org/10.1186/s13054-021-03787-z</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5BC79D8">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Drouin, G. Letarte, F. Raymond, M. Marchand, J. Corbeil, F. Laviolette. Interpretable genotype-to-phenotype classifiers with performance guarantees. Scientific Reports. Vol. 9, Article 4071, 2019,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"https://doi.org/10.1038/s41598-019-40561%EE%80%80-2"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https://doi.org/10.1038/s41598-019-40561-2</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39A2FDCE">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 Valavarasu, Y. Sangu, T. Mahapatra. Prediction of antibiotic resistance from antibiotic susceptibility testing results from surveillance data using machine learning. Scientific Reports. Vol. 15, Article 30509,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"https://doi.org/10.1038/s41598-025-14078%EE%80%80-w"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https://doi.org/10.1038/s41598-025-14078-w</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5979F8DE">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 Wiesmann, D. Enders, A. Westendorf, R. Koch, F. Schaumburg. Prediction of antimicrobial resistance from MALDI-TOF mass spectra using machine learning: a validation study. Journal of Clinical Microbiology. Vol. 63, Article e01186-25,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"https://doi.org/10.1128/jcm.01186-25"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https://doi.org/10.1128/jcm.01186-25</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0A008E2">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 Aytan-Aktug, P. T. L. C. Clausen, V. Bortolaia, F. M. Aarestrup, O. Lund. Prediction of acquired antimicrobial resistance for multiple bacterial species using neural networks. mSystems. Vol. 5, Article e00774-19, 2020,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"https://doi.org/10.1128/mSystems.00774-1%EE%80%809"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https://doi.org/10.1128/mSystems.00774-19</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7812B32D">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Y. Kim, I. Jeong, J.-H. Park, et al. Multi-task learning based early prediction model for antibiotic resistance using multi-institutional cohort data. Scientific Reports. Vol. 16, Article 11891, 2026,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"https://doi.org/10.1038/s41%EE%80%80598-026-41185-z"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https://doi.org/10.1038/s41598-026-41185-z</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1F799B98">
      <w:pPr>
        <w:numPr>
          <w:ilvl w:val="0"/>
          <w:numId w:val="1"/>
        </w:numPr>
        <w:spacing w:beforeAutospacing="1"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V. Strochkov, V. Beloussov, S. Orkara, A. Lavrinenko, M. Solomadin, S. Yegorov, N. Sandybayev. Genomic characterization of multidrug-resistant Acinetobacter baumannii in pneumonia patients in Kazakhstan. Diagnostics. Vol. 15, Article 704,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"https://doi.org/10.3390/diagnostics15060%EE%80%80704"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https://doi.org/10.3390/diagnostics15060704</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7A84A46E">
      <w:pPr>
        <w:numPr>
          <w:ilvl w:val="0"/>
          <w:numId w:val="1"/>
        </w:numPr>
        <w:spacing w:beforeAutospacing="1" w:afterAutospacing="1" w:line="240" w:lineRule="auto"/>
        <w:rPr>
          <w:rFonts w:hint="default" w:ascii="Times New Roman" w:hAnsi="Times New Roman" w:eastAsia="Times New Roman" w:cs="Times New Roman"/>
          <w:sz w:val="24"/>
          <w:szCs w:val="24"/>
          <w:highlight w:val="white"/>
        </w:rPr>
      </w:pPr>
      <w:r>
        <w:rPr>
          <w:rFonts w:hint="default" w:ascii="Times New Roman" w:hAnsi="Times New Roman" w:cs="Times New Roman"/>
          <w:sz w:val="24"/>
          <w:szCs w:val="24"/>
        </w:rPr>
        <w:t xml:space="preserve">D. R. Roberts, V. Bahn, S. Ciuti, M. S. Boyce, J. Elith, G. Guillera-Arroita, S. Hauenstein, J. J. Lahoz-Monfort, B. Schröder, W. Thuiller, D. I. Warton, B. A. Wintle, F. Hartig, C. F. Dormann. Cross-validation strategies for data with temporal, spatial, hierarchical, or phylogenetic structure. Ecography. Vol. 40, pg. 913–929, 2017,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"https://doi.org/10.1111/ecog.02881"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https://doi.org/10.1111/ecog.02881</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6A103CD-758D-411D-A29E-3461BD11EAE8}"/>
  </w:font>
  <w:font w:name="Arial">
    <w:panose1 w:val="020B0604020202020204"/>
    <w:charset w:val="00"/>
    <w:family w:val="swiss"/>
    <w:pitch w:val="default"/>
    <w:sig w:usb0="E0002EFF" w:usb1="C000785B" w:usb2="00000009" w:usb3="00000000" w:csb0="400001FF" w:csb1="FFFF0000"/>
    <w:embedRegular r:id="rId2" w:fontKey="{AC6BF7C3-0075-4883-87B8-CC73C5600C2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1B283D1-FF8B-4BC9-9073-B47157D990FA}"/>
  </w:font>
  <w:font w:name="Wingdings">
    <w:panose1 w:val="05000000000000000000"/>
    <w:charset w:val="02"/>
    <w:family w:val="auto"/>
    <w:pitch w:val="default"/>
    <w:sig w:usb0="00000000" w:usb1="00000000" w:usb2="00000000" w:usb3="00000000" w:csb0="80000000" w:csb1="00000000"/>
    <w:embedRegular r:id="rId4" w:fontKey="{4C52A4A4-4519-4723-9CED-B0E4E564C6CC}"/>
  </w:font>
  <w:font w:name="Calibri">
    <w:panose1 w:val="020F0502020204030204"/>
    <w:charset w:val="00"/>
    <w:family w:val="swiss"/>
    <w:pitch w:val="default"/>
    <w:sig w:usb0="E4002EFF" w:usb1="C200247B" w:usb2="00000009" w:usb3="00000000" w:csb0="200001FF" w:csb1="00000000"/>
    <w:embedRegular r:id="rId5" w:fontKey="{458E7F05-4CEC-4330-8548-3082E08280D8}"/>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embedRegular r:id="rId6" w:fontKey="{B453E934-E502-489A-AFA6-0F0E49896F8C}"/>
  </w:font>
  <w:font w:name="Segoe UI">
    <w:panose1 w:val="020B0502040204020203"/>
    <w:charset w:val="00"/>
    <w:family w:val="auto"/>
    <w:pitch w:val="default"/>
    <w:sig w:usb0="E4002EFF" w:usb1="C000E47F" w:usb2="00000009" w:usb3="00000000" w:csb0="200001FF" w:csb1="00000000"/>
    <w:embedRegular r:id="rId7" w:fontKey="{52F23DE3-69EA-42C5-9041-1457156ECB2C}"/>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55BAC7"/>
    <w:multiLevelType w:val="multilevel"/>
    <w:tmpl w:val="0B55BA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
  <w:rsids>
    <w:rsidRoot w:val="00FE5EE1"/>
    <w:rsid w:val="001A3FCF"/>
    <w:rsid w:val="0030614A"/>
    <w:rsid w:val="0092180E"/>
    <w:rsid w:val="00FE5EE1"/>
    <w:rsid w:val="185E4A3A"/>
    <w:rsid w:val="18714A89"/>
    <w:rsid w:val="1B612DA1"/>
    <w:rsid w:val="2B004513"/>
    <w:rsid w:val="45BF0D09"/>
    <w:rsid w:val="4C0C0983"/>
    <w:rsid w:val="54C06FD5"/>
    <w:rsid w:val="55FE1DE0"/>
    <w:rsid w:val="599D17CB"/>
    <w:rsid w:val="5D705E14"/>
    <w:rsid w:val="6ADB565B"/>
    <w:rsid w:val="6BA97AF9"/>
    <w:rsid w:val="7A6A6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ru-RU"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5"/>
    <w:qFormat/>
    <w:uiPriority w:val="0"/>
    <w:pPr>
      <w:spacing w:line="240" w:lineRule="auto"/>
    </w:pPr>
    <w:rPr>
      <w:rFonts w:ascii="Tahoma" w:hAnsi="Tahoma" w:cs="Tahoma"/>
      <w:sz w:val="16"/>
      <w:szCs w:val="16"/>
    </w:rPr>
  </w:style>
  <w:style w:type="character" w:styleId="11">
    <w:name w:val="Emphasis"/>
    <w:basedOn w:val="8"/>
    <w:qFormat/>
    <w:uiPriority w:val="20"/>
    <w:rPr>
      <w:i/>
      <w:iCs/>
    </w:rPr>
  </w:style>
  <w:style w:type="character" w:styleId="12">
    <w:name w:val="Hyperlink"/>
    <w:basedOn w:val="8"/>
    <w:qFormat/>
    <w:uiPriority w:val="0"/>
    <w:rPr>
      <w:color w:val="0000FF"/>
      <w:u w:val="single"/>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ru-RU"/>
    </w:rPr>
  </w:style>
  <w:style w:type="character" w:styleId="14">
    <w:name w:val="Strong"/>
    <w:basedOn w:val="8"/>
    <w:qFormat/>
    <w:uiPriority w:val="22"/>
    <w:rPr>
      <w:b/>
      <w:bCs/>
    </w:rPr>
  </w:style>
  <w:style w:type="paragraph" w:styleId="15">
    <w:name w:val="Subtitle"/>
    <w:basedOn w:val="1"/>
    <w:next w:val="1"/>
    <w:qFormat/>
    <w:uiPriority w:val="0"/>
    <w:pPr>
      <w:keepNext/>
      <w:keepLines/>
      <w:spacing w:after="320"/>
    </w:pPr>
    <w:rPr>
      <w:color w:val="666666"/>
      <w:sz w:val="30"/>
      <w:szCs w:val="30"/>
    </w:rPr>
  </w:style>
  <w:style w:type="table" w:styleId="16">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keepLines/>
      <w:spacing w:after="60"/>
    </w:pPr>
    <w:rPr>
      <w:sz w:val="52"/>
      <w:szCs w:val="52"/>
    </w:r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0"/>
    <w:basedOn w:val="18"/>
    <w:qFormat/>
    <w:uiPriority w:val="0"/>
  </w:style>
  <w:style w:type="table" w:customStyle="1" w:styleId="20">
    <w:name w:val="_Style 11"/>
    <w:basedOn w:val="18"/>
    <w:qFormat/>
    <w:uiPriority w:val="0"/>
  </w:style>
  <w:style w:type="table" w:customStyle="1" w:styleId="21">
    <w:name w:val="_Style 12"/>
    <w:basedOn w:val="18"/>
    <w:qFormat/>
    <w:uiPriority w:val="0"/>
  </w:style>
  <w:style w:type="table" w:customStyle="1" w:styleId="22">
    <w:name w:val="_Style 13"/>
    <w:basedOn w:val="18"/>
    <w:qFormat/>
    <w:uiPriority w:val="0"/>
  </w:style>
  <w:style w:type="table" w:customStyle="1" w:styleId="23">
    <w:name w:val="_Style 14"/>
    <w:basedOn w:val="18"/>
    <w:qFormat/>
    <w:uiPriority w:val="0"/>
  </w:style>
  <w:style w:type="table" w:customStyle="1" w:styleId="24">
    <w:name w:val="_Style 15"/>
    <w:basedOn w:val="18"/>
    <w:qFormat/>
    <w:uiPriority w:val="0"/>
  </w:style>
  <w:style w:type="character" w:customStyle="1" w:styleId="25">
    <w:name w:val="Текст выноски Знак"/>
    <w:basedOn w:val="8"/>
    <w:link w:val="10"/>
    <w:qFormat/>
    <w:uiPriority w:val="0"/>
    <w:rPr>
      <w:rFonts w:ascii="Tahoma" w:hAnsi="Tahoma" w:eastAsia="Arial" w:cs="Tahoma"/>
      <w:sz w:val="16"/>
      <w:szCs w:val="16"/>
      <w:lang w:val="en"/>
    </w:rPr>
  </w:style>
  <w:style w:type="character" w:customStyle="1" w:styleId="26">
    <w:name w:val="ai-highlight"/>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17</Pages>
  <Words>3599</Words>
  <Characters>22032</Characters>
  <Lines>314</Lines>
  <Paragraphs>88</Paragraphs>
  <TotalTime>39</TotalTime>
  <ScaleCrop>false</ScaleCrop>
  <LinksUpToDate>false</LinksUpToDate>
  <CharactersWithSpaces>25427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2026-06-24T12:53:00Z</dcterms:created>
  <dc:creator>niker</dc:creator>
  <cp:lastModifiedBy>niker</cp:lastModifiedBy>
  <dcterms:modified xsi:type="dcterms:W3CDTF">2026-06-24T18:12:15Z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eyJoZGlkIjoiNGUzMmJhMTEyNzQ0ZjBiMDVkOTkzOTg0MGI4MWY1MjcifQ==</vt:lpwstr>
  </property>
  <property fmtid="{D5CDD505-2E9C-101B-9397-08002B2CF9AE}" pid="3" name="KSOProductBuildVer">
    <vt:lpwstr>1033-12.1.0.26880</vt:lpwstr>
  </property>
  <property fmtid="{D5CDD505-2E9C-101B-9397-08002B2CF9AE}" pid="4" name="ICV">
    <vt:lpwstr>D500177BEAAA41FB88C92379E7995DDE_13</vt:lpwstr>
  </property>
</Properties>
</file>