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A0B86" w14:textId="77777777" w:rsidR="001F1A97" w:rsidRPr="001F1A97" w:rsidRDefault="001F1A97" w:rsidP="001F1A97">
      <w:r w:rsidRPr="001F1A97">
        <w:t>Antimicrobial resistance (AMR) is a major public health concern, estimated to cause 4.71 million associated and 1.14 million direct deaths in 2021 (Naghavi et al., 2024). This phenomenon appeared shortly after the introduction of antibiotics. Since then, the crisis has been accelerating year by year. AMR has been responsible for over one million deaths annually since 1990 and, without action, is projected to escalate significantly, reaching 10 million deaths per year by 2050 (O'Neill, 2016; Naghavi et al., 2024; Semenova et al., 2024). Given this projection, AMR is recognized as one of the most pressing threats in global health security, rivalling non-communicable diseases in scale while exceeding them in its capacity for cross-border dissemination. AMR is often referred to as a "silent pandemic", as bacteria can develop resistance without producing any detectable clinical signals, silently causing harm to the host organism (Fuhrmeister et al., 2021; Semenova et al., 2024). In addition, bacteria's ability to divide rapidly and to transfer genes horizontally complicates the development of interventions that are therapeutically effective and widely accessible. While new therapeutic agents can be developed and approved for use, biological adaptability allows novel resistant strains to emerge and disseminate rapidly, threatening the clinical utility of existing antibiotic classes (Davies &amp; Davies, 2010).</w:t>
      </w:r>
    </w:p>
    <w:p w14:paraId="1E98CF2D" w14:textId="77777777" w:rsidR="001F1A97" w:rsidRPr="001F1A97" w:rsidRDefault="001F1A97" w:rsidP="001F1A97">
      <w:r w:rsidRPr="001F1A97">
        <w:t>Although AMR is a global health problem, its burden falls disproportionately on developing countries, where laboratory facilities and practices to treat resistant pathogens remain critically limited. For low- and middle-income countries, the lack of financial investment in healthcare and science indicates that this disparity is not incidental but structural, meaning isolated technical solutions are not sufficient (Laxminarayan et al., 2013). Especially in Central Asian countries, this trend is evident (Semenova et al., 2024; Semenova et al., 2025). As they lack systematic AMR surveillance data and sufficient government funding, these gaps impede efforts to contain resistance transmission (Semenova et al., 2024; Semenova et al., 2025). As a result, high-risk pathogens cannot be identified, because in this region, these gaps limit the monitoring of resistance trends. Consequences of these gaps can be delayed outbreak detection, the lack of access to therapeutics, and inappropriate antibiotic prescribing, meaning these are not only theoretical concerns but also tangible public health failures. Heavy reliance on microbiological inputs makes predictive models inapplicable in these regions due to the systematic absence of such data.</w:t>
      </w:r>
    </w:p>
    <w:p w14:paraId="6750AD5D" w14:textId="77777777" w:rsidR="001F1A97" w:rsidRPr="001F1A97" w:rsidRDefault="001F1A97" w:rsidP="001F1A97">
      <w:r w:rsidRPr="001F1A97">
        <w:t>A zero-shot framework trained exclusively on global surveillance data to predict resistance probability for Kazakhstan or other Central Asian countries has not been applied in any study, despite the broad application of machine learning in AMR prediction. Additionally, there are no methodological approaches that assess model reliability in regions where clinical data are limited. Geographic and methodological gaps in particular represent the most significant barriers to studying AMR in these settings.</w:t>
      </w:r>
    </w:p>
    <w:p w14:paraId="1D17B595" w14:textId="77777777" w:rsidR="001F1A97" w:rsidRPr="001F1A97" w:rsidRDefault="001F1A97" w:rsidP="001F1A97">
      <w:r w:rsidRPr="001F1A97">
        <w:t xml:space="preserve">This research addresses this gap through a zero-shot machine learning framework for AMR. In this framework, a model trained exclusively on global AMR surveillance data is applied to target countries where local microbiological training data remain unavailable. The fact that collecting local clinical data requires years of institutional investment into medical infrastructure makes a zero-shot paradigm a practical alternative, since it does not require such data. The model is trained on data which are extracted from three major platforms, specifically ATLAS, SIDERO-WT, and KEYSTONE. Combined, these platforms contain 12.4 million isolates across 85 countries between 2004 and 2023. Training of the model includes data from six WHO regions, 85 national healthcare systems, and nearly two decades of surveillance records, which equips the model with a globally representative AMR foundation to support meaningful cross-national generalization. The main features on which the prediction relies are organism identity, antibiotic class, year, GDP per capita, health expenditure, and population density. As these features can be obtained by the public </w:t>
      </w:r>
      <w:r w:rsidRPr="001F1A97">
        <w:lastRenderedPageBreak/>
        <w:t>without laboratory work or patient-level clinical records, they have been chosen as model features. Due to the absence of ground-truth data, three complementary strategies are utilized to assess model reliability, namely a temporal split, Leave-One-Country-Out (LOCO) analysis on six proxy countries, and rolling temporal cross-validation. Therefore, through these strategies, cross-temporal stability, cross-national transferability, and the rate of predictive decay as resistance patterns evolve over time are assessed. </w:t>
      </w:r>
    </w:p>
    <w:p w14:paraId="319DE514" w14:textId="77777777" w:rsidR="001F1A97" w:rsidRPr="001F1A97" w:rsidRDefault="001F1A97" w:rsidP="001F1A97">
      <w:r w:rsidRPr="001F1A97">
        <w:t>The central research question of this study is whether a machine learning algorithm trained exclusively on global surveillance data, economic factors, and antibiotic consumption data, without relying on local training data, can provide clinically useful resistance probability estimates for data-sparse regions such as Kazakhstan. Such a framework may offer a reproducible template for developing models in low- and middle-income countries where local clinical data remain scarce.</w:t>
      </w:r>
    </w:p>
    <w:p w14:paraId="37EDE38B" w14:textId="77777777" w:rsidR="00CA3ED2" w:rsidRDefault="00CA3ED2"/>
    <w:sectPr w:rsidR="00CA3ED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A97"/>
    <w:rsid w:val="00075FB3"/>
    <w:rsid w:val="001F1A97"/>
    <w:rsid w:val="003F49B5"/>
    <w:rsid w:val="004C79B0"/>
    <w:rsid w:val="00626C84"/>
    <w:rsid w:val="00630A89"/>
    <w:rsid w:val="00CA3ED2"/>
    <w:rsid w:val="00CA4B1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8779BA"/>
  <w15:chartTrackingRefBased/>
  <w15:docId w15:val="{925034F0-8087-456A-B51B-DCB6AA506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F1A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F1A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F1A97"/>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F1A97"/>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F1A97"/>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F1A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F1A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F1A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F1A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F1A97"/>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F1A97"/>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F1A97"/>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F1A97"/>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F1A97"/>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F1A9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F1A97"/>
    <w:rPr>
      <w:rFonts w:eastAsiaTheme="majorEastAsia" w:cstheme="majorBidi"/>
      <w:color w:val="595959" w:themeColor="text1" w:themeTint="A6"/>
    </w:rPr>
  </w:style>
  <w:style w:type="character" w:customStyle="1" w:styleId="80">
    <w:name w:val="Заголовок 8 Знак"/>
    <w:basedOn w:val="a0"/>
    <w:link w:val="8"/>
    <w:uiPriority w:val="9"/>
    <w:semiHidden/>
    <w:rsid w:val="001F1A9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F1A97"/>
    <w:rPr>
      <w:rFonts w:eastAsiaTheme="majorEastAsia" w:cstheme="majorBidi"/>
      <w:color w:val="272727" w:themeColor="text1" w:themeTint="D8"/>
    </w:rPr>
  </w:style>
  <w:style w:type="paragraph" w:styleId="a3">
    <w:name w:val="Title"/>
    <w:basedOn w:val="a"/>
    <w:next w:val="a"/>
    <w:link w:val="a4"/>
    <w:uiPriority w:val="10"/>
    <w:qFormat/>
    <w:rsid w:val="001F1A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F1A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F1A9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F1A9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F1A97"/>
    <w:pPr>
      <w:spacing w:before="160"/>
      <w:jc w:val="center"/>
    </w:pPr>
    <w:rPr>
      <w:i/>
      <w:iCs/>
      <w:color w:val="404040" w:themeColor="text1" w:themeTint="BF"/>
    </w:rPr>
  </w:style>
  <w:style w:type="character" w:customStyle="1" w:styleId="22">
    <w:name w:val="Цитата 2 Знак"/>
    <w:basedOn w:val="a0"/>
    <w:link w:val="21"/>
    <w:uiPriority w:val="29"/>
    <w:rsid w:val="001F1A97"/>
    <w:rPr>
      <w:i/>
      <w:iCs/>
      <w:color w:val="404040" w:themeColor="text1" w:themeTint="BF"/>
    </w:rPr>
  </w:style>
  <w:style w:type="paragraph" w:styleId="a7">
    <w:name w:val="List Paragraph"/>
    <w:basedOn w:val="a"/>
    <w:uiPriority w:val="34"/>
    <w:qFormat/>
    <w:rsid w:val="001F1A97"/>
    <w:pPr>
      <w:ind w:left="720"/>
      <w:contextualSpacing/>
    </w:pPr>
  </w:style>
  <w:style w:type="character" w:styleId="a8">
    <w:name w:val="Intense Emphasis"/>
    <w:basedOn w:val="a0"/>
    <w:uiPriority w:val="21"/>
    <w:qFormat/>
    <w:rsid w:val="001F1A97"/>
    <w:rPr>
      <w:i/>
      <w:iCs/>
      <w:color w:val="0F4761" w:themeColor="accent1" w:themeShade="BF"/>
    </w:rPr>
  </w:style>
  <w:style w:type="paragraph" w:styleId="a9">
    <w:name w:val="Intense Quote"/>
    <w:basedOn w:val="a"/>
    <w:next w:val="a"/>
    <w:link w:val="aa"/>
    <w:uiPriority w:val="30"/>
    <w:qFormat/>
    <w:rsid w:val="001F1A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F1A97"/>
    <w:rPr>
      <w:i/>
      <w:iCs/>
      <w:color w:val="0F4761" w:themeColor="accent1" w:themeShade="BF"/>
    </w:rPr>
  </w:style>
  <w:style w:type="character" w:styleId="ab">
    <w:name w:val="Intense Reference"/>
    <w:basedOn w:val="a0"/>
    <w:uiPriority w:val="32"/>
    <w:qFormat/>
    <w:rsid w:val="001F1A9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796</Words>
  <Characters>4538</Characters>
  <Application>Microsoft Office Word</Application>
  <DocSecurity>0</DocSecurity>
  <Lines>37</Lines>
  <Paragraphs>10</Paragraphs>
  <ScaleCrop>false</ScaleCrop>
  <Company/>
  <LinksUpToDate>false</LinksUpToDate>
  <CharactersWithSpaces>5324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Амангелді Уаис</dc:creator>
  <cp:keywords/>
  <dc:description/>
  <cp:lastModifiedBy>Амангелді Уаис</cp:lastModifiedBy>
  <cp:revision>1</cp:revision>
  <dcterms:created xsi:type="dcterms:W3CDTF">2026-04-16T17:07:00Z</dcterms:created>
  <dcterms:modified xsi:type="dcterms:W3CDTF">2026-04-16T17:07:00Z</dcterms:modified>
</cp:coreProperties>
</file>