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1B4B"/>
          <w:sz w:val="64"/>
        </w:rPr>
        <w:t>PostureOne</w:t>
      </w:r>
    </w:p>
    <w:p>
      <w:pPr>
        <w:jc w:val="center"/>
      </w:pPr>
      <w:r>
        <w:rPr>
          <w:color w:val="6366F1"/>
          <w:sz w:val="32"/>
        </w:rPr>
        <w:t>Technical Assessment Report</w:t>
      </w:r>
    </w:p>
    <w:p>
      <w:pPr>
        <w:jc w:val="center"/>
      </w:pPr>
      <w:r>
        <w:rPr>
          <w:color w:val="475569"/>
          <w:sz w:val="22"/>
        </w:rPr>
        <w:t>Architecture, Security &amp; Code Quality Review - April 2026</w:t>
      </w:r>
    </w:p>
    <w:p/>
    <w:p/>
    <w:p>
      <w:pPr>
        <w:jc w:val="center"/>
      </w:pPr>
      <w:r>
        <w:rPr>
          <w:color w:val="475569"/>
        </w:rPr>
        <w:t xml:space="preserve">Author: </w:t>
      </w:r>
      <w:r>
        <w:rPr>
          <w:b/>
          <w:color w:val="1E1B4B"/>
        </w:rPr>
        <w:t>Andrea Ceresoni</w:t>
      </w:r>
    </w:p>
    <w:p>
      <w:pPr>
        <w:jc w:val="center"/>
      </w:pPr>
      <w:r>
        <w:rPr>
          <w:color w:val="475569"/>
          <w:sz w:val="18"/>
        </w:rPr>
        <w:t>Classification: Confidential</w:t>
      </w:r>
    </w:p>
    <w:p>
      <w:r>
        <w:br w:type="page"/>
      </w:r>
    </w:p>
    <w:p>
      <w:pPr>
        <w:pStyle w:val="Heading1"/>
      </w:pPr>
      <w:r>
        <w:rPr>
          <w:color w:val="1E1B4B"/>
        </w:rP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Platform Architecture</w:t>
      </w:r>
    </w:p>
    <w:p>
      <w:pPr>
        <w:spacing w:after="40"/>
      </w:pPr>
      <w:r>
        <w:t>3. Security Assessment</w:t>
      </w:r>
    </w:p>
    <w:p>
      <w:pPr>
        <w:spacing w:after="40"/>
      </w:pPr>
      <w:r>
        <w:t>4. Code Quality Assessment</w:t>
      </w:r>
    </w:p>
    <w:p>
      <w:pPr>
        <w:spacing w:after="40"/>
      </w:pPr>
      <w:r>
        <w:t>5. Scalability Assessment</w:t>
      </w:r>
    </w:p>
    <w:p>
      <w:pPr>
        <w:spacing w:after="40"/>
      </w:pPr>
      <w:r>
        <w:t>6. Test Coverage</w:t>
      </w:r>
    </w:p>
    <w:p>
      <w:pPr>
        <w:spacing w:after="40"/>
      </w:pPr>
      <w:r>
        <w:t>7. Dependency Health</w:t>
      </w:r>
    </w:p>
    <w:p>
      <w:pPr>
        <w:spacing w:after="40"/>
      </w:pPr>
      <w:r>
        <w:t>8. Production Deployment</w:t>
      </w:r>
    </w:p>
    <w:p>
      <w:pPr>
        <w:spacing w:after="40"/>
      </w:pPr>
      <w:r>
        <w:t>9. Recommendations</w:t>
      </w:r>
    </w:p>
    <w:p>
      <w:r>
        <w:br w:type="page"/>
      </w:r>
    </w:p>
    <w:p>
      <w:pPr>
        <w:pStyle w:val="Heading1"/>
      </w:pPr>
      <w:r>
        <w:rPr>
          <w:color w:val="1E1B4B"/>
        </w:rPr>
        <w:t>1. Executive Summary</w:t>
      </w:r>
    </w:p>
    <w:p>
      <w:pPr>
        <w:spacing w:after="120"/>
      </w:pPr>
      <w:r>
        <w:t>This report documents the results of a comprehensive technical assessment of the PostureOne CSPM platform, conducted in April 2026 by four independent reviewers covering security, code quality, architecture, and product readiness.</w:t>
      </w:r>
    </w:p>
    <w:p>
      <w:pPr>
        <w:spacing w:after="120"/>
      </w:pPr>
      <w:r>
        <w:t>Overall assessment grades: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Grade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A-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 Critical, 0 High. All OWASP Top 10 addressed. SSRF double-layer, JWT production-grade.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Code Quality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1297 backend tests. Evaluator batched, cursor pagination, seed upsert atomic.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Tenant isolation verified across 322 query join points. NOT NULL enforced.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Product / UX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Unique triage layer, 40 auto-fill remediation snippets, scan drill-down with delta.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A-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Dependabot alerts reduced from 11 to 1 (moderate). All critical/high resolved.</w:t>
            </w:r>
          </w:p>
        </w:tc>
      </w:tr>
    </w:tbl>
    <w:p/>
    <w:p>
      <w:pPr>
        <w:spacing w:after="120"/>
      </w:pPr>
      <w:r>
        <w:t>The platform was elevated from C+/B- to B+/A- over a 3-day intensive sprint that addressed all Critical and High findings, implemented cursor pagination, batched the evaluator for large subscriptions, and added smart alerting on new P0 findings.</w:t>
      </w:r>
    </w:p>
    <w:p>
      <w:pPr>
        <w:pStyle w:val="Heading1"/>
      </w:pPr>
      <w:r>
        <w:rPr>
          <w:color w:val="1E1B4B"/>
        </w:rPr>
        <w:t>2. Platform Architecture</w:t>
      </w:r>
    </w:p>
    <w:p>
      <w:pPr>
        <w:spacing w:after="120"/>
      </w:pPr>
      <w:r>
        <w:t>PostureOne follows a standard three-tier architecture with asynchronous task processing for long-running cloud scans.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API Server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FastAPI (Python 3.12, async)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RESTful API with JWT auth, RBAC, rate limiting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Next.js 16 (App Router, TypeScript)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Server-rendered React UI with Tailwind CSS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PostgreSQL 16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 core tables, Alembic migrations, async driver (asyncpg)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Cache / Broker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Redis 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Celery task broker, API response cache, rate limiter backend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Worker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Celery (prefork, concurrency=2)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Scan pipeline: collector -&gt; normalizer -&gt; evaluator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Reverse Proxy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Caddy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Automatic TLS via Let's Encrypt, HTTP/2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GitHub Actions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Test + Trivy scan + Docker build + SSH deploy</w:t>
            </w:r>
          </w:p>
        </w:tc>
      </w:tr>
    </w:tbl>
    <w:p/>
    <w:p>
      <w:pPr>
        <w:pStyle w:val="Heading2"/>
      </w:pPr>
      <w:r>
        <w:rPr>
          <w:color w:val="6366F1"/>
        </w:rPr>
        <w:t>Data Pipeline</w:t>
      </w:r>
    </w:p>
    <w:p>
      <w:pPr>
        <w:spacing w:after="120"/>
      </w:pPr>
      <w:r>
        <w:t>The scan pipeline executes as a single Celery task with three sequential stages: (1) Collector queries Azure Resource Graph and Defender APIs to build the asset inventory; (2) Normalizer maps Defender recommendations to internal controls via dedup keys; (3) Evaluator runs 179 registered check functions against each asset and creates/updates findings. Assets are processed in batches of 500 to prevent OOM on large subscriptions.</w:t>
      </w:r>
    </w:p>
    <w:p>
      <w:pPr>
        <w:pStyle w:val="Heading2"/>
      </w:pPr>
      <w:r>
        <w:rPr>
          <w:color w:val="6366F1"/>
        </w:rPr>
        <w:t>Multi-Tenancy Model</w:t>
      </w:r>
    </w:p>
    <w:p>
      <w:pPr>
        <w:spacing w:after="120"/>
      </w:pPr>
      <w:r>
        <w:t>Tenant isolation is enforced at the query level via JOIN on cloud_accounts.tenant_id. This pattern was verified across 322 occurrences in all 26 API endpoint files. The tenant_id column on findings and assets is now NOT NULL with a foreign key to the tenants table, backed by an Alembic migration that backfilled all existing rows.</w:t>
      </w:r>
    </w:p>
    <w:p>
      <w:pPr>
        <w:pStyle w:val="Heading1"/>
      </w:pPr>
      <w:r>
        <w:rPr>
          <w:color w:val="1E1B4B"/>
        </w:rPr>
        <w:t>3. Security Assessment</w:t>
      </w:r>
    </w:p>
    <w:p>
      <w:pPr>
        <w:spacing w:after="120"/>
      </w:pPr>
      <w:r>
        <w:t>The security assessment identified 3 Critical, 8 High, and 8 Medium findings. All Critical and High findings have been remediated.</w:t>
      </w:r>
    </w:p>
    <w:p>
      <w:pPr>
        <w:pStyle w:val="Heading2"/>
      </w:pPr>
      <w:r>
        <w:rPr>
          <w:color w:val="6366F1"/>
        </w:rPr>
        <w:t>Resolved Findings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Finding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Resolution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C-1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Password reset token logged in plaintext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Token removed from log output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C-2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Fernet encryption key hardcoded in CI workflow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Fallback removed, requires GitHub Secret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C-3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Open redirect on login page via redirect param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Validated relative path only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H-1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SSRF via OIDC discovery (plain httpx client)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Switched to create_ssrf_safe_client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H-2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SSRF via Slack webhook dispatch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Switched to create_ssrf_safe_client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H-3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SSRF via Jira client (3 callsites)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Switched to create_ssrf_safe_client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H-4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/register endpoint allowed viewer role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Changed dependency to AdminUser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H-5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/reset-password had no rate limiting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Added 10/hour limit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H-6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hmac.new does not exist in Python 3.8+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 to hmac.HMAC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H-7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Deploy via SSH as root with IP in public repo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 changed to deploy, IP moved to secret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H-8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tenant_id nullable and never populated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Backfilled and set NOT NULL</w:t>
            </w:r>
          </w:p>
        </w:tc>
      </w:tr>
    </w:tbl>
    <w:p/>
    <w:p>
      <w:pPr>
        <w:pStyle w:val="Heading2"/>
      </w:pPr>
      <w:r>
        <w:rPr>
          <w:color w:val="6366F1"/>
        </w:rPr>
        <w:t>Remaining Findings (Medium)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Finding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Recommended Action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/metrics endpoint publicly accessible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Info disclosure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Restrict to internal IPs via Caddy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Invitation token in API response body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Token leakage via logs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Remove from response, deliver via email only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CSP uses unsafe-inline for styles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CSS injection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 nonce-based CSP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HSTS missing preload directive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First-visit downgrade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Add preload, register at hstspreload.org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Failed login attempts not audited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Forensic gap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Add audit log entry on failed auth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SSO endpoints missing rate limit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DoS on IdP discovery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Added 20/minute limit</w:t>
            </w:r>
          </w:p>
        </w:tc>
      </w:tr>
    </w:tbl>
    <w:p/>
    <w:p>
      <w:pPr>
        <w:pStyle w:val="Heading2"/>
      </w:pPr>
      <w:r>
        <w:rPr>
          <w:color w:val="6366F1"/>
        </w:rPr>
        <w:t>Security Architecture Strengths</w:t>
      </w:r>
    </w:p>
    <w:p>
      <w:pPr>
        <w:spacing w:after="120"/>
      </w:pPr>
      <w:r>
        <w:t>JWT implementation: refresh token rotation with DB-backed revocation, MFA pending token separation, timing-safe dummy bcrypt on failed lookups, idle timeout enforcement. SSRF protection: double-layer with validate_public_url at input time and DNS rebinding protection at connection time via _SsrfSafeTransport. Credential storage: Fernet encryption at rest with key rotation capability. Rate limiting: proxy-aware IP extraction from X-Forwarded-For on all sensitive endpoints.</w:t>
      </w:r>
    </w:p>
    <w:p>
      <w:pPr>
        <w:pStyle w:val="Heading1"/>
      </w:pPr>
      <w:r>
        <w:rPr>
          <w:color w:val="1E1B4B"/>
        </w:rPr>
        <w:t>4. Code Quality Assessment</w:t>
      </w:r>
    </w:p>
    <w:p>
      <w:pPr>
        <w:spacing w:after="120"/>
      </w:pPr>
      <w:r>
        <w:t>The codebase follows a clean layered architecture: API routes -&gt; services -&gt; models. No circular dependencies were found. FastAPI routers are thin, business logic resides in dedicated service modules, and SQLAlchemy models use modern 2.x mapped_column syntax.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Linting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ruff check + ruff format enforced in CI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Type checking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mypy + TypeScript --noEmit pass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Import ordering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ruff I (isort-compatible)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Error handling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Consistent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HTTPException with status codes, no bare except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stdlib logging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print() statements, structured JSON in prod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Evaluator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Batched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500 assets per batch, peak ~50 MB instead of full account in RAM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Seed controls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Atomic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INSERT ON CONFLICT DO UPDATE, safe for concurrent startup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Pagination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Cursor-based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Timeline, comments, evidence use CursorMeta with has_more</w:t>
            </w:r>
          </w:p>
        </w:tc>
      </w:tr>
    </w:tbl>
    <w:p/>
    <w:p>
      <w:pPr>
        <w:pStyle w:val="Heading1"/>
      </w:pPr>
      <w:r>
        <w:rPr>
          <w:color w:val="1E1B4B"/>
        </w:rPr>
        <w:t>5. Scalability Assessment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Current Capacity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Bottleneck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Evaluator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10,000+ assets/account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Batched to 500/iteration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Evidence table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Millions of rows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Disk, query time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90-day cleanup + cursor pagination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Refresh tokens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Unlimited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Table bloat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Hourly cleanup beat task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Concurrent scans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 (Celery workers)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Queue depth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Increase concurrency or add workers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256 MB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LRU eviction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Separate instances recommended for scale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Database connections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 max (pool)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Connection exhaustion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Sufficient for 50+ tenants</w:t>
            </w:r>
          </w:p>
        </w:tc>
      </w:tr>
    </w:tbl>
    <w:p/>
    <w:p>
      <w:pPr>
        <w:pStyle w:val="Heading1"/>
      </w:pPr>
      <w:r>
        <w:rPr>
          <w:color w:val="1E1B4B"/>
        </w:rPr>
        <w:t>6. Test Coverage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Count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Framework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Backend unit tests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~600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pytest (check functions, priority, remediation renderer)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Backend integration tests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~700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pytest + httpx AsyncClient + ASGITransport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Frontend unit tests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vitest + @testing-library/react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E2E tests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Playwright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1,297 backend + 89 frontend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E1B4B"/>
        </w:rPr>
        <w:t>7. Dependency Health</w:t>
      </w:r>
    </w:p>
    <w:p>
      <w:pPr>
        <w:spacing w:after="120"/>
      </w:pPr>
      <w:r>
        <w:t>All Dependabot security advisories were addressed on 12 April 2026. The alert count was reduced from 11 to 1 (a moderate-severity transitive dependency).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Previous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Updated To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Severity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1.13.6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1.15.0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 Critical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16.2.1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16.2.3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 High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lodash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4.17.23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4.18.1 (override)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 High + 1 Medium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8.0.0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8.0.8 (direct dev dep)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 High + 1 Medium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picomatch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2.3.1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4.0.4 (override)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 Medium</w:t>
            </w:r>
          </w:p>
        </w:tc>
      </w:tr>
    </w:tbl>
    <w:p/>
    <w:p>
      <w:pPr>
        <w:pStyle w:val="Heading1"/>
      </w:pPr>
      <w:r>
        <w:rPr>
          <w:color w:val="1E1B4B"/>
        </w:rPr>
        <w:t>8. Production Deployment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Configuration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Host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DigitalOcean VPS (single instance)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Containers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 services via Docker Compose (backend, frontend, celery, beat, db, redis)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Reverse proxy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Caddy (host-level systemd service, automatic Let's Encrypt TLS)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Deploy method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GitHub Actions CD: SSH as 'deploy' user, git pull, docker compose up --build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Migrations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Alembic upgrade head runs in entrypoint.sh before uvicorn starts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Prometheus /metrics + /health endpoint (503 on DB/Redis degraded)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Backups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backup-db.sh script (manual scheduling required)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Port binding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All services on 127.0.0.1 only (no external exposure)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Redis hardening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Password required, dangerous commands renamed, maxmemory 256 MB</w:t>
            </w:r>
          </w:p>
        </w:tc>
      </w:tr>
    </w:tbl>
    <w:p/>
    <w:p>
      <w:pPr>
        <w:pStyle w:val="Heading1"/>
      </w:pPr>
      <w:r>
        <w:rPr>
          <w:color w:val="1E1B4B"/>
        </w:rPr>
        <w:t>9. Recommendations</w:t>
      </w:r>
    </w:p>
    <w:p>
      <w:pPr>
        <w:pStyle w:val="Heading2"/>
      </w:pPr>
      <w:r>
        <w:rPr>
          <w:color w:val="6366F1"/>
        </w:rPr>
        <w:t>Immediate (before next customer)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Configure SMTP (Resend) for password reset email delivery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 min (blocked on DNS)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Resolve remaining 1 moderate Dependabot alert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Add automated DB backup cron (daily pg_dump to S3/object storage)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 hour</w:t>
            </w:r>
          </w:p>
        </w:tc>
      </w:tr>
    </w:tbl>
    <w:p/>
    <w:p>
      <w:pPr>
        <w:pStyle w:val="Heading2"/>
      </w:pPr>
      <w:r>
        <w:rPr>
          <w:color w:val="6366F1"/>
        </w:rPr>
        <w:t>Short-term (next 30 days)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Separate Redis instances for broker vs cache vs rate limiter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Add partial unique index on scans to prevent concurrent scan race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 hour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Extend remediation snippets from 40 to 100+ controls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 days (incremental)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Onboarding wizard: copy-paste Azure CLI for service principal creation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 day</w:t>
            </w:r>
          </w:p>
        </w:tc>
      </w:tr>
    </w:tbl>
    <w:p/>
    <w:p>
      <w:pPr>
        <w:pStyle w:val="Heading2"/>
      </w:pPr>
      <w:r>
        <w:rPr>
          <w:color w:val="6366F1"/>
        </w:rPr>
        <w:t>Medium-term (next 90 days)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AWS coverage expansion from 20 to 100+ checks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 weeks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Entra ID / Microsoft Graph collector (MFA controls CIS-AZ-01, 02)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 week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Multi-region deployment (EU/US data residency)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 weeks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Horizontal Celery worker scaling for concurrent scans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 week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color w:val="475569"/>
          <w:sz w:val="20"/>
        </w:rPr>
        <w:t>End of Report</w:t>
      </w:r>
    </w:p>
    <w:p>
      <w:pPr>
        <w:jc w:val="center"/>
      </w:pPr>
      <w:r>
        <w:rPr>
          <w:color w:val="475569"/>
          <w:sz w:val="16"/>
        </w:rPr>
        <w:t>Copyright 2026 Andrea Ceresoni. All rights reserved. Confidential.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