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1A365D"/>
          <w:sz w:val="72"/>
        </w:rPr>
        <w:t>Valutazione di Sicurezza</w:t>
      </w:r>
    </w:p>
    <w:p>
      <w:pPr>
        <w:jc w:val="center"/>
      </w:pPr>
      <w:r>
        <w:rPr>
          <w:color w:val="4A5568"/>
          <w:sz w:val="36"/>
        </w:rPr>
        <w:t>Soluzione di Monitoraggio Enterprise</w:t>
      </w:r>
    </w:p>
    <w:p/>
    <w:p>
      <w:pPr>
        <w:jc w:val="center"/>
      </w:pPr>
      <w:r>
        <w:rPr>
          <w:b/>
          <w:color w:val="38A169"/>
          <w:sz w:val="40"/>
        </w:rPr>
        <w:t>✓ APPROVATO PER PRODUZIONE</w:t>
      </w:r>
    </w:p>
    <w:p/>
    <w:p>
      <w:pPr>
        <w:jc w:val="center"/>
      </w:pPr>
      <w:r>
        <w:rPr>
          <w:color w:val="4A5568"/>
          <w:sz w:val="28"/>
        </w:rPr>
        <w:t>SOMMARIO ESECUTIVO</w:t>
      </w:r>
    </w:p>
    <w:p>
      <w:pPr>
        <w:jc w:val="center"/>
      </w:pPr>
      <w:r>
        <w:rPr>
          <w:color w:val="718096"/>
          <w:sz w:val="24"/>
        </w:rPr>
        <w:t>Dicembre 2025</w:t>
      </w:r>
    </w:p>
    <w:p>
      <w:r>
        <w:br w:type="page"/>
      </w:r>
    </w:p>
    <w:p>
      <w:pPr>
        <w:pStyle w:val="Heading1"/>
      </w:pPr>
      <w:r>
        <w:t>Informazioni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7fafc"/>
          </w:tcPr>
          <w:p>
            <w:r>
              <w:rPr>
                <w:b/>
              </w:rPr>
              <w:t>Data Emissione</w:t>
            </w:r>
          </w:p>
        </w:tc>
        <w:tc>
          <w:tcPr>
            <w:tcW w:type="dxa" w:w="4320"/>
          </w:tcPr>
          <w:p>
            <w:r>
              <w:t>17 Dicembre 2025</w:t>
            </w:r>
          </w:p>
        </w:tc>
      </w:tr>
      <w:tr>
        <w:tc>
          <w:tcPr>
            <w:tcW w:type="dxa" w:w="4320"/>
            <w:shd w:fill="f7fafc"/>
          </w:tcPr>
          <w:p>
            <w:r>
              <w:rPr>
                <w:b/>
              </w:rPr>
              <w:t>Versione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  <w:shd w:fill="f7fafc"/>
          </w:tcPr>
          <w:p>
            <w:r>
              <w:rPr>
                <w:b/>
              </w:rPr>
              <w:t>Classificazione</w:t>
            </w:r>
          </w:p>
        </w:tc>
        <w:tc>
          <w:tcPr>
            <w:tcW w:type="dxa" w:w="4320"/>
          </w:tcPr>
          <w:p>
            <w:r>
              <w:t>Riservato - Uso Interno</w:t>
            </w:r>
          </w:p>
        </w:tc>
      </w:tr>
      <w:tr>
        <w:tc>
          <w:tcPr>
            <w:tcW w:type="dxa" w:w="4320"/>
            <w:shd w:fill="f7fafc"/>
          </w:tcPr>
          <w:p>
            <w:r>
              <w:rPr>
                <w:b/>
              </w:rPr>
              <w:t>Destinatari</w:t>
            </w:r>
          </w:p>
        </w:tc>
        <w:tc>
          <w:tcPr>
            <w:tcW w:type="dxa" w:w="4320"/>
          </w:tcPr>
          <w:p>
            <w:r>
              <w:t>CDA, CISO, Direzione IT</w:t>
            </w:r>
          </w:p>
        </w:tc>
      </w:tr>
      <w:tr>
        <w:tc>
          <w:tcPr>
            <w:tcW w:type="dxa" w:w="4320"/>
            <w:shd w:fill="f7fafc"/>
          </w:tcPr>
          <w:p>
            <w:r>
              <w:rPr>
                <w:b/>
              </w:rPr>
              <w:t>Redatto da</w:t>
            </w:r>
          </w:p>
        </w:tc>
        <w:tc>
          <w:tcPr>
            <w:tcW w:type="dxa" w:w="4320"/>
          </w:tcPr>
          <w:p>
            <w:r>
              <w:t>Security Engineering Team</w:t>
            </w:r>
          </w:p>
        </w:tc>
      </w:tr>
    </w:tbl>
    <w:p/>
    <w:p>
      <w:pPr>
        <w:pStyle w:val="Heading1"/>
      </w:pPr>
      <w:r>
        <w:t>Sintesi Decisionale</w:t>
      </w:r>
    </w:p>
    <w:p>
      <w:r>
        <w:rPr>
          <w:sz w:val="22"/>
        </w:rPr>
        <w:t xml:space="preserve">La soluzione di monitoraggio proposta, basata sulla combinazione di </w:t>
      </w:r>
      <w:r>
        <w:rPr>
          <w:b/>
          <w:sz w:val="22"/>
        </w:rPr>
        <w:t>Microsoft Sysmon</w:t>
      </w:r>
      <w:r>
        <w:rPr>
          <w:sz w:val="22"/>
        </w:rPr>
        <w:t xml:space="preserve"> e </w:t>
      </w:r>
      <w:r>
        <w:rPr>
          <w:b/>
          <w:sz w:val="22"/>
        </w:rPr>
        <w:t>Windows Event Logging</w:t>
      </w:r>
      <w:r>
        <w:rPr>
          <w:sz w:val="22"/>
        </w:rPr>
        <w:t xml:space="preserve">, ha superato con successo la valutazione di sicurezza ed è </w:t>
      </w:r>
      <w:r>
        <w:rPr>
          <w:b/>
          <w:color w:val="38A169"/>
          <w:sz w:val="22"/>
        </w:rPr>
        <w:t>approvata per il deployment in produzione</w:t>
      </w:r>
      <w:r>
        <w:rPr>
          <w:sz w:val="22"/>
        </w:rPr>
        <w:t>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38A169"/>
                <w:sz w:val="56"/>
              </w:rPr>
              <w:t>92/100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2C5282"/>
                <w:sz w:val="56"/>
              </w:rPr>
              <w:t>97.5%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38A169"/>
                <w:sz w:val="56"/>
              </w:rPr>
              <w:t>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color w:val="718096"/>
                <w:sz w:val="20"/>
              </w:rPr>
              <w:t>Punteggio Audit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718096"/>
                <w:sz w:val="20"/>
              </w:rPr>
              <w:t>Copertura MITRE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718096"/>
                <w:sz w:val="20"/>
              </w:rPr>
              <w:t>Gap Critici</w:t>
            </w:r>
          </w:p>
        </w:tc>
      </w:tr>
    </w:tbl>
    <w:p/>
    <w:p>
      <w:r>
        <w:br w:type="page"/>
      </w:r>
    </w:p>
    <w:p>
      <w:pPr>
        <w:pStyle w:val="Heading1"/>
      </w:pPr>
      <w:r>
        <w:t>Copertura di Rilevamento</w:t>
      </w:r>
    </w:p>
    <w:p>
      <w:r>
        <w:rPr>
          <w:sz w:val="22"/>
        </w:rPr>
        <w:t xml:space="preserve">La soluzione garantisce una copertura del </w:t>
      </w:r>
      <w:r>
        <w:rPr>
          <w:b/>
          <w:sz w:val="22"/>
        </w:rPr>
        <w:t>97.5%</w:t>
      </w:r>
      <w:r>
        <w:rPr>
          <w:sz w:val="22"/>
        </w:rPr>
        <w:t xml:space="preserve"> delle tecniche di attacco documentate nel framework MITRE ATT&amp;CK, posizionandosi significativamente al di sopra della media di settore (70-80%).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983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ver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83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992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9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Conformità Normativa</w:t>
      </w:r>
    </w:p>
    <w:p>
      <w:r>
        <w:rPr>
          <w:sz w:val="22"/>
        </w:rPr>
        <w:t>La soluzione soddisfa i requisiti di logging e monitoraggio previsti dalle principali normative di settore.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14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li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14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Framework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Copertura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Requisiti Chiave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PCI-DSS v4.0</w:t>
            </w:r>
          </w:p>
        </w:tc>
        <w:tc>
          <w:tcPr>
            <w:tcW w:type="dxa" w:w="2880"/>
          </w:tcPr>
          <w:p>
            <w:r>
              <w:t>95%</w:t>
            </w:r>
          </w:p>
        </w:tc>
        <w:tc>
          <w:tcPr>
            <w:tcW w:type="dxa" w:w="2880"/>
          </w:tcPr>
          <w:p>
            <w:r>
              <w:t>Req. 10.2 - Logging accessi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HIPAA</w:t>
            </w:r>
          </w:p>
        </w:tc>
        <w:tc>
          <w:tcPr>
            <w:tcW w:type="dxa" w:w="2880"/>
          </w:tcPr>
          <w:p>
            <w:r>
              <w:t>95%</w:t>
            </w:r>
          </w:p>
        </w:tc>
        <w:tc>
          <w:tcPr>
            <w:tcW w:type="dxa" w:w="2880"/>
          </w:tcPr>
          <w:p>
            <w:r>
              <w:t>§164.312(b) - Controlli audit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ISO 27001</w:t>
            </w:r>
          </w:p>
        </w:tc>
        <w:tc>
          <w:tcPr>
            <w:tcW w:type="dxa" w:w="2880"/>
          </w:tcPr>
          <w:p>
            <w:r>
              <w:t>95%</w:t>
            </w:r>
          </w:p>
        </w:tc>
        <w:tc>
          <w:tcPr>
            <w:tcW w:type="dxa" w:w="2880"/>
          </w:tcPr>
          <w:p>
            <w:r>
              <w:t>A.12.4 - Logging e monitoraggio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NIS2</w:t>
            </w:r>
          </w:p>
        </w:tc>
        <w:tc>
          <w:tcPr>
            <w:tcW w:type="dxa" w:w="2880"/>
          </w:tcPr>
          <w:p>
            <w:r>
              <w:t>90%</w:t>
            </w:r>
          </w:p>
        </w:tc>
        <w:tc>
          <w:tcPr>
            <w:tcW w:type="dxa" w:w="2880"/>
          </w:tcPr>
          <w:p>
            <w:r>
              <w:t>Art. 21 - Misure di sicurezza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SOX</w:t>
            </w:r>
          </w:p>
        </w:tc>
        <w:tc>
          <w:tcPr>
            <w:tcW w:type="dxa" w:w="2880"/>
          </w:tcPr>
          <w:p>
            <w:r>
              <w:t>90%</w:t>
            </w:r>
          </w:p>
        </w:tc>
        <w:tc>
          <w:tcPr>
            <w:tcW w:type="dxa" w:w="2880"/>
          </w:tcPr>
          <w:p>
            <w:r>
              <w:t>Controlli IT generali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GDPR</w:t>
            </w:r>
          </w:p>
        </w:tc>
        <w:tc>
          <w:tcPr>
            <w:tcW w:type="dxa" w:w="2880"/>
          </w:tcPr>
          <w:p>
            <w:r>
              <w:t>90%</w:t>
            </w:r>
          </w:p>
        </w:tc>
        <w:tc>
          <w:tcPr>
            <w:tcW w:type="dxa" w:w="2880"/>
          </w:tcPr>
          <w:p>
            <w:r>
              <w:t>Art. 32 - Sicurezza trattamento</w:t>
            </w:r>
          </w:p>
        </w:tc>
      </w:tr>
    </w:tbl>
    <w:p>
      <w:r>
        <w:br w:type="page"/>
      </w:r>
    </w:p>
    <w:p>
      <w:pPr>
        <w:pStyle w:val="Heading1"/>
      </w:pPr>
      <w:r>
        <w:t>Analisi Costi-Benefici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1A365D"/>
                <w:sz w:val="48"/>
              </w:rPr>
              <w:t>€ 5.000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1A365D"/>
                <w:sz w:val="48"/>
              </w:rPr>
              <w:t>€ 1.64M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38A169"/>
                <w:sz w:val="48"/>
              </w:rPr>
              <w:t>32.800%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Investimento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Riduzione Rischio/Anno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ROI</w:t>
            </w:r>
          </w:p>
        </w:tc>
      </w:tr>
    </w:tbl>
    <w:p/>
    <w:p/>
    <w:p>
      <w:pPr>
        <w:pStyle w:val="Heading2"/>
      </w:pPr>
      <w:r>
        <w:t>Dettaglio Investimento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65d"/>
          </w:tcPr>
          <w:p>
            <w:r>
              <w:rPr>
                <w:color w:val="FFFFFF"/>
              </w:rPr>
              <w:t>Voce</w:t>
            </w:r>
          </w:p>
        </w:tc>
        <w:tc>
          <w:tcPr>
            <w:tcW w:type="dxa" w:w="4320"/>
            <w:shd w:fill="1a365d"/>
          </w:tcPr>
          <w:p>
            <w:r>
              <w:rPr>
                <w:color w:val="FFFFFF"/>
              </w:rPr>
              <w:t>Stima</w:t>
            </w:r>
          </w:p>
        </w:tc>
      </w:tr>
      <w:tr>
        <w:tc>
          <w:tcPr>
            <w:tcW w:type="dxa" w:w="4320"/>
          </w:tcPr>
          <w:p>
            <w:r>
              <w:t>Effort implementazione</w:t>
            </w:r>
          </w:p>
        </w:tc>
        <w:tc>
          <w:tcPr>
            <w:tcW w:type="dxa" w:w="4320"/>
          </w:tcPr>
          <w:p>
            <w:r>
              <w:t>56 ore</w:t>
            </w:r>
          </w:p>
        </w:tc>
      </w:tr>
      <w:tr>
        <w:tc>
          <w:tcPr>
            <w:tcW w:type="dxa" w:w="4320"/>
          </w:tcPr>
          <w:p>
            <w:r>
              <w:t>Impatto infrastrutturale</w:t>
            </w:r>
          </w:p>
        </w:tc>
        <w:tc>
          <w:tcPr>
            <w:tcW w:type="dxa" w:w="4320"/>
          </w:tcPr>
          <w:p>
            <w:r>
              <w:t>Trascurabile</w:t>
            </w:r>
          </w:p>
        </w:tc>
      </w:tr>
      <w:tr>
        <w:tc>
          <w:tcPr>
            <w:tcW w:type="dxa" w:w="4320"/>
          </w:tcPr>
          <w:p>
            <w:r>
              <w:t>Formazione SOC</w:t>
            </w:r>
          </w:p>
        </w:tc>
        <w:tc>
          <w:tcPr>
            <w:tcW w:type="dxa" w:w="4320"/>
          </w:tcPr>
          <w:p>
            <w:r>
              <w:t>8 ore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Costo Totale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€ 5.000</w:t>
            </w:r>
          </w:p>
        </w:tc>
      </w:tr>
    </w:tbl>
    <w:p/>
    <w:p>
      <w:pPr>
        <w:pStyle w:val="Heading2"/>
      </w:pPr>
      <w:r>
        <w:t>Dettaglio Benefici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a169"/>
          </w:tcPr>
          <w:p>
            <w:r>
              <w:rPr>
                <w:color w:val="FFFFFF"/>
              </w:rPr>
              <w:t>Beneficio</w:t>
            </w:r>
          </w:p>
        </w:tc>
        <w:tc>
          <w:tcPr>
            <w:tcW w:type="dxa" w:w="4320"/>
            <w:shd w:fill="38a169"/>
          </w:tcPr>
          <w:p>
            <w:r>
              <w:rPr>
                <w:color w:val="FFFFFF"/>
              </w:rPr>
              <w:t>Valore</w:t>
            </w:r>
          </w:p>
        </w:tc>
      </w:tr>
      <w:tr>
        <w:tc>
          <w:tcPr>
            <w:tcW w:type="dxa" w:w="4320"/>
          </w:tcPr>
          <w:p>
            <w:r>
              <w:t>Riduzione rischio breach</w:t>
            </w:r>
          </w:p>
        </w:tc>
        <w:tc>
          <w:tcPr>
            <w:tcW w:type="dxa" w:w="4320"/>
          </w:tcPr>
          <w:p>
            <w:r>
              <w:t>€ 1.640.000/anno</w:t>
            </w:r>
          </w:p>
        </w:tc>
      </w:tr>
      <w:tr>
        <w:tc>
          <w:tcPr>
            <w:tcW w:type="dxa" w:w="4320"/>
          </w:tcPr>
          <w:p>
            <w:r>
              <w:t>Evitamento sanzioni NIS2</w:t>
            </w:r>
          </w:p>
        </w:tc>
        <w:tc>
          <w:tcPr>
            <w:tcW w:type="dxa" w:w="4320"/>
          </w:tcPr>
          <w:p>
            <w:r>
              <w:t>Fino a € 10.000.000</w:t>
            </w:r>
          </w:p>
        </w:tc>
      </w:tr>
      <w:tr>
        <w:tc>
          <w:tcPr>
            <w:tcW w:type="dxa" w:w="4320"/>
          </w:tcPr>
          <w:p>
            <w:r>
              <w:t>Riduzione costi IR</w:t>
            </w:r>
          </w:p>
        </w:tc>
        <w:tc>
          <w:tcPr>
            <w:tcW w:type="dxa" w:w="4320"/>
          </w:tcPr>
          <w:p>
            <w:r>
              <w:t>€ 50.000/anno</w:t>
            </w:r>
          </w:p>
        </w:tc>
      </w:tr>
      <w:tr>
        <w:tc>
          <w:tcPr>
            <w:tcW w:type="dxa" w:w="4320"/>
          </w:tcPr>
          <w:p>
            <w:r>
              <w:t>Cyber insurance</w:t>
            </w:r>
          </w:p>
        </w:tc>
        <w:tc>
          <w:tcPr>
            <w:tcW w:type="dxa" w:w="4320"/>
          </w:tcPr>
          <w:p>
            <w:r>
              <w:t>Requisiti soddisfatti</w:t>
            </w:r>
          </w:p>
        </w:tc>
      </w:tr>
    </w:tbl>
    <w:p>
      <w:r>
        <w:br w:type="page"/>
      </w:r>
    </w:p>
    <w:p>
      <w:pPr>
        <w:pStyle w:val="Heading1"/>
      </w:pPr>
      <w:r>
        <w:t>Valutazione del Rischio</w:t>
      </w:r>
    </w:p>
    <w:p>
      <w:r>
        <w:rPr>
          <w:sz w:val="22"/>
        </w:rPr>
        <w:t>La soluzione riduce significativamente il rischio di sicurezza attraverso una copertura completa delle tecniche di attacco.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62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is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62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Prima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Dopo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Miglioramento</w:t>
            </w:r>
          </w:p>
        </w:tc>
      </w:tr>
      <w:tr>
        <w:tc>
          <w:tcPr>
            <w:tcW w:type="dxa" w:w="2160"/>
          </w:tcPr>
          <w:p>
            <w:r>
              <w:t>Ransomware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Molto Alto</w:t>
            </w:r>
          </w:p>
        </w:tc>
        <w:tc>
          <w:tcPr>
            <w:tcW w:type="dxa" w:w="2160"/>
          </w:tcPr>
          <w:p>
            <w:r>
              <w:rPr>
                <w:b/>
                <w:color w:val="38A169"/>
              </w:rPr>
              <w:t>+60%</w:t>
            </w:r>
          </w:p>
        </w:tc>
      </w:tr>
      <w:tr>
        <w:tc>
          <w:tcPr>
            <w:tcW w:type="dxa" w:w="2160"/>
          </w:tcPr>
          <w:p>
            <w:r>
              <w:t>Minacce Interne</w:t>
            </w:r>
          </w:p>
        </w:tc>
        <w:tc>
          <w:tcPr>
            <w:tcW w:type="dxa" w:w="2160"/>
          </w:tcPr>
          <w:p>
            <w:r>
              <w:t>Basso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rPr>
                <w:b/>
                <w:color w:val="38A169"/>
              </w:rPr>
              <w:t>+70%</w:t>
            </w:r>
          </w:p>
        </w:tc>
      </w:tr>
      <w:tr>
        <w:tc>
          <w:tcPr>
            <w:tcW w:type="dxa" w:w="2160"/>
          </w:tcPr>
          <w:p>
            <w:r>
              <w:t>Movimento Laterale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Molto Alto</w:t>
            </w:r>
          </w:p>
        </w:tc>
        <w:tc>
          <w:tcPr>
            <w:tcW w:type="dxa" w:w="2160"/>
          </w:tcPr>
          <w:p>
            <w:r>
              <w:rPr>
                <w:b/>
                <w:color w:val="38A169"/>
              </w:rPr>
              <w:t>+50%</w:t>
            </w:r>
          </w:p>
        </w:tc>
      </w:tr>
      <w:tr>
        <w:tc>
          <w:tcPr>
            <w:tcW w:type="dxa" w:w="2160"/>
          </w:tcPr>
          <w:p>
            <w:r>
              <w:t>Esfiltrazione</w:t>
            </w:r>
          </w:p>
        </w:tc>
        <w:tc>
          <w:tcPr>
            <w:tcW w:type="dxa" w:w="2160"/>
          </w:tcPr>
          <w:p>
            <w:r>
              <w:t>Basso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rPr>
                <w:b/>
                <w:color w:val="38A169"/>
              </w:rPr>
              <w:t>+80%</w:t>
            </w:r>
          </w:p>
        </w:tc>
      </w:tr>
      <w:tr>
        <w:tc>
          <w:tcPr>
            <w:tcW w:type="dxa" w:w="2160"/>
          </w:tcPr>
          <w:p>
            <w:r>
              <w:t>Furto Credenziali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rPr>
                <w:b/>
                <w:color w:val="38A169"/>
              </w:rPr>
              <w:t>+40%</w:t>
            </w:r>
          </w:p>
        </w:tc>
      </w:tr>
    </w:tbl>
    <w:p>
      <w:r>
        <w:br w:type="page"/>
      </w:r>
    </w:p>
    <w:p>
      <w:pPr>
        <w:pStyle w:val="Heading1"/>
      </w:pPr>
      <w:r>
        <w:t>Piano di Implementazione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088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88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5282"/>
          </w:tcPr>
          <w:p>
            <w:r>
              <w:rPr>
                <w:b/>
                <w:color w:val="FFFFFF"/>
              </w:rPr>
              <w:t>Settimana</w:t>
            </w:r>
          </w:p>
        </w:tc>
        <w:tc>
          <w:tcPr>
            <w:tcW w:type="dxa" w:w="2160"/>
            <w:shd w:fill="2c5282"/>
          </w:tcPr>
          <w:p>
            <w:r>
              <w:rPr>
                <w:b/>
                <w:color w:val="FFFFFF"/>
              </w:rPr>
              <w:t>Attività</w:t>
            </w:r>
          </w:p>
        </w:tc>
        <w:tc>
          <w:tcPr>
            <w:tcW w:type="dxa" w:w="2160"/>
            <w:shd w:fill="2c5282"/>
          </w:tcPr>
          <w:p>
            <w:r>
              <w:rPr>
                <w:b/>
                <w:color w:val="FFFFFF"/>
              </w:rPr>
              <w:t>Responsabile</w:t>
            </w:r>
          </w:p>
        </w:tc>
        <w:tc>
          <w:tcPr>
            <w:tcW w:type="dxa" w:w="2160"/>
            <w:shd w:fill="2c5282"/>
          </w:tcPr>
          <w:p>
            <w:r>
              <w:rPr>
                <w:b/>
                <w:color w:val="FFFFFF"/>
              </w:rPr>
              <w:t>Effort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Deploy Sysmon</w:t>
            </w:r>
          </w:p>
        </w:tc>
        <w:tc>
          <w:tcPr>
            <w:tcW w:type="dxa" w:w="2160"/>
          </w:tcPr>
          <w:p>
            <w:r>
              <w:t>Security Engineering</w:t>
            </w:r>
          </w:p>
        </w:tc>
        <w:tc>
          <w:tcPr>
            <w:tcW w:type="dxa" w:w="2160"/>
          </w:tcPr>
          <w:p>
            <w:r>
              <w:t>16h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Windows Event Logging</w:t>
            </w:r>
          </w:p>
        </w:tc>
        <w:tc>
          <w:tcPr>
            <w:tcW w:type="dxa" w:w="2160"/>
          </w:tcPr>
          <w:p>
            <w:r>
              <w:t>IT Operations</w:t>
            </w:r>
          </w:p>
        </w:tc>
        <w:tc>
          <w:tcPr>
            <w:tcW w:type="dxa" w:w="2160"/>
          </w:tcPr>
          <w:p>
            <w:r>
              <w:t>16h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Integrazione SIEM</w:t>
            </w:r>
          </w:p>
        </w:tc>
        <w:tc>
          <w:tcPr>
            <w:tcW w:type="dxa" w:w="2160"/>
          </w:tcPr>
          <w:p>
            <w:r>
              <w:t>SOC Team</w:t>
            </w:r>
          </w:p>
        </w:tc>
        <w:tc>
          <w:tcPr>
            <w:tcW w:type="dxa" w:w="2160"/>
          </w:tcPr>
          <w:p>
            <w:r>
              <w:t>16h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Validazione e Go-Live</w:t>
            </w:r>
          </w:p>
        </w:tc>
        <w:tc>
          <w:tcPr>
            <w:tcW w:type="dxa" w:w="2160"/>
          </w:tcPr>
          <w:p>
            <w:r>
              <w:t>Security Engineering</w:t>
            </w:r>
          </w:p>
        </w:tc>
        <w:tc>
          <w:tcPr>
            <w:tcW w:type="dxa" w:w="2160"/>
          </w:tcPr>
          <w:p>
            <w:r>
              <w:t>8h</w:t>
            </w:r>
          </w:p>
        </w:tc>
      </w:tr>
    </w:tbl>
    <w:p>
      <w:r>
        <w:br w:type="page"/>
      </w:r>
    </w:p>
    <w:p>
      <w:pPr>
        <w:pStyle w:val="Heading1"/>
      </w:pPr>
      <w:r>
        <w:t>Autorizzazione al Deployment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8a169"/>
          </w:tcPr>
          <w:p>
            <w:r>
              <w:rPr>
                <w:b/>
                <w:color w:val="FFFFFF"/>
              </w:rPr>
              <w:t>Ambiente</w:t>
            </w:r>
          </w:p>
        </w:tc>
        <w:tc>
          <w:tcPr>
            <w:tcW w:type="dxa" w:w="2880"/>
            <w:shd w:fill="38a169"/>
          </w:tcPr>
          <w:p>
            <w:r>
              <w:rPr>
                <w:b/>
                <w:color w:val="FFFFFF"/>
              </w:rPr>
              <w:t>Autorizzazione</w:t>
            </w:r>
          </w:p>
        </w:tc>
        <w:tc>
          <w:tcPr>
            <w:tcW w:type="dxa" w:w="2880"/>
            <w:shd w:fill="38a169"/>
          </w:tcPr>
          <w:p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t>Sviluppo/Test</w:t>
            </w:r>
          </w:p>
        </w:tc>
        <w:tc>
          <w:tcPr>
            <w:tcW w:type="dxa" w:w="2880"/>
          </w:tcPr>
          <w:p>
            <w:r>
              <w:rPr>
                <w:b/>
                <w:color w:val="38A169"/>
              </w:rPr>
              <w:t>✓ APPROVATO</w:t>
            </w:r>
          </w:p>
        </w:tc>
        <w:tc>
          <w:tcPr>
            <w:tcW w:type="dxa" w:w="2880"/>
          </w:tcPr>
          <w:p>
            <w:r>
              <w:t>Nessuna condizione</w:t>
            </w:r>
          </w:p>
        </w:tc>
      </w:tr>
      <w:tr>
        <w:tc>
          <w:tcPr>
            <w:tcW w:type="dxa" w:w="2880"/>
          </w:tcPr>
          <w:p>
            <w:r>
              <w:t>Pre-Produzione</w:t>
            </w:r>
          </w:p>
        </w:tc>
        <w:tc>
          <w:tcPr>
            <w:tcW w:type="dxa" w:w="2880"/>
          </w:tcPr>
          <w:p>
            <w:r>
              <w:rPr>
                <w:b/>
                <w:color w:val="38A169"/>
              </w:rPr>
              <w:t>✓ APPROVATO</w:t>
            </w:r>
          </w:p>
        </w:tc>
        <w:tc>
          <w:tcPr>
            <w:tcW w:type="dxa" w:w="2880"/>
          </w:tcPr>
          <w:p>
            <w:r>
              <w:t>Nessuna condizione</w:t>
            </w:r>
          </w:p>
        </w:tc>
      </w:tr>
      <w:tr>
        <w:tc>
          <w:tcPr>
            <w:tcW w:type="dxa" w:w="2880"/>
          </w:tcPr>
          <w:p>
            <w:r>
              <w:t>Produzione Standard</w:t>
            </w:r>
          </w:p>
        </w:tc>
        <w:tc>
          <w:tcPr>
            <w:tcW w:type="dxa" w:w="2880"/>
          </w:tcPr>
          <w:p>
            <w:r>
              <w:rPr>
                <w:b/>
                <w:color w:val="38A169"/>
              </w:rPr>
              <w:t>✓ APPROVATO</w:t>
            </w:r>
          </w:p>
        </w:tc>
        <w:tc>
          <w:tcPr>
            <w:tcW w:type="dxa" w:w="2880"/>
          </w:tcPr>
          <w:p>
            <w:r>
              <w:t>Nessuna condizione</w:t>
            </w:r>
          </w:p>
        </w:tc>
      </w:tr>
      <w:tr>
        <w:tc>
          <w:tcPr>
            <w:tcW w:type="dxa" w:w="2880"/>
          </w:tcPr>
          <w:p>
            <w:r>
              <w:t>Produzione High-Sec</w:t>
            </w:r>
          </w:p>
        </w:tc>
        <w:tc>
          <w:tcPr>
            <w:tcW w:type="dxa" w:w="2880"/>
          </w:tcPr>
          <w:p>
            <w:r>
              <w:rPr>
                <w:b/>
                <w:color w:val="38A169"/>
              </w:rPr>
              <w:t>✓ APPROVATO</w:t>
            </w:r>
          </w:p>
        </w:tc>
        <w:tc>
          <w:tcPr>
            <w:tcW w:type="dxa" w:w="2880"/>
          </w:tcPr>
          <w:p>
            <w:r>
              <w:t>Nessuna condizione</w:t>
            </w:r>
          </w:p>
        </w:tc>
      </w:tr>
      <w:tr>
        <w:tc>
          <w:tcPr>
            <w:tcW w:type="dxa" w:w="2880"/>
          </w:tcPr>
          <w:p>
            <w:r>
              <w:t>Ambienti Regolamentati</w:t>
            </w:r>
          </w:p>
        </w:tc>
        <w:tc>
          <w:tcPr>
            <w:tcW w:type="dxa" w:w="2880"/>
          </w:tcPr>
          <w:p>
            <w:r>
              <w:rPr>
                <w:b/>
                <w:color w:val="38A169"/>
              </w:rPr>
              <w:t>✓ APPROVATO</w:t>
            </w:r>
          </w:p>
        </w:tc>
        <w:tc>
          <w:tcPr>
            <w:tcW w:type="dxa" w:w="2880"/>
          </w:tcPr>
          <w:p>
            <w:r>
              <w:t>Validare SACL</w:t>
            </w:r>
          </w:p>
        </w:tc>
      </w:tr>
    </w:tbl>
    <w:p/>
    <w:p/>
    <w:p>
      <w:pPr>
        <w:pStyle w:val="Heading1"/>
      </w:pPr>
      <w:r>
        <w:t>Approvazioni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Ruolo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Firma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Data</w:t>
            </w:r>
          </w:p>
        </w:tc>
      </w:tr>
      <w:tr>
        <w:tc>
          <w:tcPr>
            <w:tcW w:type="dxa" w:w="2160"/>
          </w:tcPr>
          <w:p>
            <w:r>
              <w:t>Security Auditor</w:t>
            </w:r>
          </w:p>
        </w:tc>
        <w:tc>
          <w:tcPr>
            <w:tcW w:type="dxa" w:w="2160"/>
          </w:tcPr>
          <w:p>
            <w:r>
              <w:t>Security Team</w:t>
            </w:r>
          </w:p>
        </w:tc>
        <w:tc>
          <w:tcPr>
            <w:tcW w:type="dxa" w:w="2160"/>
          </w:tcPr>
          <w:p>
            <w:r>
              <w:rPr>
                <w:color w:val="38A169"/>
              </w:rPr>
              <w:t>✓</w:t>
            </w:r>
          </w:p>
        </w:tc>
        <w:tc>
          <w:tcPr>
            <w:tcW w:type="dxa" w:w="2160"/>
          </w:tcPr>
          <w:p>
            <w:r>
              <w:t>17/12/2025</w:t>
            </w:r>
          </w:p>
        </w:tc>
      </w:tr>
      <w:tr>
        <w:tc>
          <w:tcPr>
            <w:tcW w:type="dxa" w:w="2160"/>
          </w:tcPr>
          <w:p>
            <w:r>
              <w:t>Security Engineering Lead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IT Operations Manager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CISO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CTO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jc w:val="center"/>
      </w:pPr>
      <w:r>
        <w:rPr>
          <w:color w:val="718096"/>
          <w:sz w:val="18"/>
        </w:rPr>
        <w:t>Documento Riservato - © 2025 Security Engineering Team</w:t>
      </w:r>
    </w:p>
    <w:p>
      <w:pPr>
        <w:jc w:val="center"/>
      </w:pPr>
      <w:r>
        <w:rPr>
          <w:i/>
          <w:color w:val="718096"/>
          <w:sz w:val="18"/>
        </w:rPr>
        <w:t>Valutazione condotta secondo il framework MITRE ATT&amp;CK e le best practice NIST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65D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C528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