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31B89" w14:textId="77777777" w:rsidR="00CD2228" w:rsidRDefault="00BD7DB7" w:rsidP="00CD2228">
      <w:pPr>
        <w:pStyle w:val="references"/>
      </w:pPr>
      <w:r>
        <w:rPr>
          <w:lang w:val="en-CA"/>
        </w:rPr>
        <w:t xml:space="preserve"> </w:t>
      </w:r>
      <w:r w:rsidR="00CD2228">
        <w:t xml:space="preserve">Office of the Privacy Commissioner of Canada, “Pipeda in brief,” Office of the Privacy Commissioner of Canada, https://www.priv.gc.ca/en/privacy-topics/privacy-laws-in-canada/the-personal-information-protection-and-electronic-documents-act-pipeda/pipeda_brief/ (accessed Feb. 8, 2024). </w:t>
      </w:r>
    </w:p>
    <w:p w14:paraId="3FCBEF92" w14:textId="77777777" w:rsidR="00CD2228" w:rsidRDefault="00CD2228" w:rsidP="00CD2228">
      <w:pPr>
        <w:pStyle w:val="references"/>
        <w:numPr>
          <w:ilvl w:val="0"/>
          <w:numId w:val="0"/>
        </w:numPr>
        <w:ind w:left="360" w:hanging="360"/>
      </w:pPr>
    </w:p>
    <w:p w14:paraId="1450558E" w14:textId="60A9DC27" w:rsidR="00CD2228" w:rsidRDefault="00CD2228" w:rsidP="00CD2228">
      <w:pPr>
        <w:pStyle w:val="references"/>
        <w:numPr>
          <w:ilvl w:val="0"/>
          <w:numId w:val="0"/>
        </w:numPr>
        <w:ind w:left="720" w:hanging="360"/>
      </w:pPr>
      <w:r>
        <w:t xml:space="preserve">The act </w:t>
      </w:r>
      <w:bookmarkStart w:id="0" w:name="_Hlk162784275"/>
      <w:r>
        <w:t>protected a person’s information and records about their age, ID, and other identifying features. It also protected their opinions, comments, and social status</w:t>
      </w:r>
    </w:p>
    <w:bookmarkEnd w:id="0"/>
    <w:p w14:paraId="4F81E543" w14:textId="77777777" w:rsidR="00CD2228" w:rsidRDefault="00CD2228" w:rsidP="00CD2228">
      <w:pPr>
        <w:pStyle w:val="references"/>
        <w:numPr>
          <w:ilvl w:val="0"/>
          <w:numId w:val="0"/>
        </w:numPr>
        <w:ind w:left="720" w:hanging="360"/>
      </w:pPr>
    </w:p>
    <w:p w14:paraId="09C437CE" w14:textId="77777777" w:rsidR="00CD2228" w:rsidRDefault="00CD2228" w:rsidP="00CD2228">
      <w:pPr>
        <w:pStyle w:val="references"/>
      </w:pPr>
      <w:r>
        <w:t xml:space="preserve">Office of the Privacy Commissioner of Canada, “Pipeda Fair Information Principle 3 – Consent,” Office of the Privacy Commissioner of Canada, https://www.priv.gc.ca/en/privacy-topics/privacy-laws-in-canada/the-personal-information-protection-and-electronic-documents-act-pipeda/p_principle/principles/p_consent/ (accessed Feb. 8, 2024). </w:t>
      </w:r>
    </w:p>
    <w:p w14:paraId="578AAFE6" w14:textId="77777777" w:rsidR="00CD2228" w:rsidRDefault="00CD2228" w:rsidP="00CD2228">
      <w:pPr>
        <w:pStyle w:val="references"/>
        <w:numPr>
          <w:ilvl w:val="0"/>
          <w:numId w:val="0"/>
        </w:numPr>
        <w:ind w:left="360" w:hanging="360"/>
      </w:pPr>
    </w:p>
    <w:p w14:paraId="3448A742" w14:textId="4D71A46E" w:rsidR="00CD2228" w:rsidRPr="00CD2228" w:rsidRDefault="00CD2228" w:rsidP="00CD2228">
      <w:pPr>
        <w:pStyle w:val="references"/>
        <w:numPr>
          <w:ilvl w:val="0"/>
          <w:numId w:val="0"/>
        </w:numPr>
        <w:ind w:left="720" w:hanging="360"/>
      </w:pPr>
      <w:r w:rsidRPr="00CD2228">
        <w:t>Since this act, when a company wants to store or use your personal information they must ask for permission and get your meaningful consent</w:t>
      </w:r>
    </w:p>
    <w:p w14:paraId="608E25D5" w14:textId="77777777" w:rsidR="00CD2228" w:rsidRDefault="00CD2228" w:rsidP="00CD2228">
      <w:pPr>
        <w:pStyle w:val="references"/>
        <w:numPr>
          <w:ilvl w:val="0"/>
          <w:numId w:val="0"/>
        </w:numPr>
        <w:ind w:left="720" w:hanging="360"/>
      </w:pPr>
    </w:p>
    <w:p w14:paraId="7CEF359A" w14:textId="059D2548" w:rsidR="00CD2228" w:rsidRDefault="00CD2228" w:rsidP="00CD2228">
      <w:pPr>
        <w:pStyle w:val="references"/>
        <w:numPr>
          <w:ilvl w:val="0"/>
          <w:numId w:val="0"/>
        </w:numPr>
        <w:ind w:left="720" w:hanging="360"/>
      </w:pPr>
      <w:r w:rsidRPr="006C2CC5">
        <w:t xml:space="preserve">It is only considered valid if it is reasonable to expect that your customers </w:t>
      </w:r>
      <w:r>
        <w:t>has</w:t>
      </w:r>
      <w:r w:rsidRPr="006C2CC5">
        <w:t xml:space="preserve"> underst</w:t>
      </w:r>
      <w:r>
        <w:t>oo</w:t>
      </w:r>
      <w:r w:rsidRPr="006C2CC5">
        <w:t>d the nature, purpose and consequences of the collection, use or disclosure of their personal information</w:t>
      </w:r>
    </w:p>
    <w:p w14:paraId="56453A45" w14:textId="77777777" w:rsidR="00CD2228" w:rsidRPr="00CD2228" w:rsidRDefault="00CD2228" w:rsidP="00CD2228">
      <w:pPr>
        <w:pStyle w:val="references"/>
        <w:numPr>
          <w:ilvl w:val="0"/>
          <w:numId w:val="0"/>
        </w:numPr>
        <w:ind w:left="720" w:hanging="360"/>
      </w:pPr>
    </w:p>
    <w:p w14:paraId="7CF88333" w14:textId="4A85AECE" w:rsidR="00CD2228" w:rsidRDefault="00CD2228" w:rsidP="00CD2228">
      <w:pPr>
        <w:pStyle w:val="references"/>
        <w:numPr>
          <w:ilvl w:val="0"/>
          <w:numId w:val="0"/>
        </w:numPr>
        <w:ind w:left="720" w:hanging="360"/>
      </w:pPr>
      <w:r w:rsidRPr="00CD2228">
        <w:t>Other stuff</w:t>
      </w:r>
      <w:r>
        <w:t xml:space="preserve"> about how to get consent</w:t>
      </w:r>
    </w:p>
    <w:p w14:paraId="00003ACA" w14:textId="77777777" w:rsidR="00CD2228" w:rsidRPr="00CD2228" w:rsidRDefault="00CD2228" w:rsidP="00CD2228">
      <w:pPr>
        <w:pStyle w:val="references"/>
        <w:numPr>
          <w:ilvl w:val="0"/>
          <w:numId w:val="0"/>
        </w:numPr>
        <w:ind w:left="720" w:hanging="360"/>
      </w:pPr>
    </w:p>
    <w:p w14:paraId="479D95EE" w14:textId="77777777" w:rsidR="00CD2228" w:rsidRDefault="00CD2228" w:rsidP="00CD2228">
      <w:pPr>
        <w:pStyle w:val="references"/>
      </w:pPr>
      <w:r>
        <w:t xml:space="preserve">N. Steinfeld, “‘I agree to the terms and conditions’: (how) do users read privacy policies online? an eye-tracking experiment,” </w:t>
      </w:r>
      <w:r>
        <w:rPr>
          <w:i/>
          <w:iCs/>
        </w:rPr>
        <w:t>Computers in Human Behavior</w:t>
      </w:r>
      <w:r>
        <w:t xml:space="preserve">, vol. 55, pp. 992–1000, Feb. 2016. doi:10.1016/j.chb.2015.09.038 </w:t>
      </w:r>
    </w:p>
    <w:p w14:paraId="495D6555" w14:textId="77777777" w:rsidR="00CD2228" w:rsidRDefault="00CD2228" w:rsidP="00CD2228">
      <w:pPr>
        <w:pStyle w:val="references"/>
        <w:numPr>
          <w:ilvl w:val="0"/>
          <w:numId w:val="0"/>
        </w:numPr>
        <w:ind w:left="360" w:hanging="360"/>
      </w:pPr>
    </w:p>
    <w:p w14:paraId="74482D0B" w14:textId="673E7786" w:rsidR="00CD2228" w:rsidRDefault="00CD2228" w:rsidP="00CD2228">
      <w:pPr>
        <w:pStyle w:val="references"/>
        <w:numPr>
          <w:ilvl w:val="0"/>
          <w:numId w:val="0"/>
        </w:numPr>
        <w:ind w:left="720" w:hanging="360"/>
      </w:pPr>
      <w:bookmarkStart w:id="1" w:name="_Hlk162787920"/>
      <w:r w:rsidRPr="00F76A98">
        <w:t>Nili Steinfeld research</w:t>
      </w:r>
      <w:r>
        <w:t>ed</w:t>
      </w:r>
      <w:r w:rsidRPr="00F76A98">
        <w:t xml:space="preserve"> the topic of privacy policies and found that the average policy of “top site” was 2400 words in length</w:t>
      </w:r>
      <w:bookmarkEnd w:id="1"/>
    </w:p>
    <w:p w14:paraId="28BABA51" w14:textId="77777777" w:rsidR="00CD2228" w:rsidRDefault="00CD2228" w:rsidP="00CD2228">
      <w:pPr>
        <w:pStyle w:val="references"/>
        <w:numPr>
          <w:ilvl w:val="0"/>
          <w:numId w:val="0"/>
        </w:numPr>
        <w:ind w:left="720" w:hanging="360"/>
      </w:pPr>
    </w:p>
    <w:p w14:paraId="038D98DE" w14:textId="77777777" w:rsidR="00CD2228" w:rsidRDefault="00CD2228" w:rsidP="00CD2228">
      <w:pPr>
        <w:pStyle w:val="references"/>
      </w:pPr>
      <w:r>
        <w:t xml:space="preserve">J. A. Obar and A. Oeldorf-Hirsch, “The biggest lie on the internet: Ignoring the privacy policies and terms of service policies of social networking services,” </w:t>
      </w:r>
      <w:r>
        <w:rPr>
          <w:i/>
          <w:iCs/>
        </w:rPr>
        <w:t>Information, Communication &amp;amp; Society</w:t>
      </w:r>
      <w:r>
        <w:t xml:space="preserve">, vol. 23, no. 1, pp. 128–147, Jul. 2018. doi:10.1080/1369118x.2018.1486870 </w:t>
      </w:r>
    </w:p>
    <w:p w14:paraId="3FE9EBF3" w14:textId="77777777" w:rsidR="00CD2228" w:rsidRDefault="00CD2228" w:rsidP="00CD2228">
      <w:pPr>
        <w:pStyle w:val="references"/>
        <w:numPr>
          <w:ilvl w:val="0"/>
          <w:numId w:val="0"/>
        </w:numPr>
        <w:ind w:left="360" w:hanging="360"/>
      </w:pPr>
    </w:p>
    <w:p w14:paraId="040EF25D" w14:textId="75E184B4" w:rsidR="00CD2228" w:rsidRDefault="00CD2228" w:rsidP="00CD2228">
      <w:pPr>
        <w:pStyle w:val="references"/>
        <w:numPr>
          <w:ilvl w:val="0"/>
          <w:numId w:val="0"/>
        </w:numPr>
        <w:ind w:left="720" w:hanging="360"/>
      </w:pPr>
      <w:r w:rsidRPr="00F76A98">
        <w:t xml:space="preserve">the long privacy policies mean a </w:t>
      </w:r>
      <w:bookmarkStart w:id="2" w:name="_Hlk162790857"/>
      <w:r w:rsidRPr="00F76A98">
        <w:t xml:space="preserve">shocking lack of people </w:t>
      </w:r>
      <w:r>
        <w:t xml:space="preserve">are </w:t>
      </w:r>
      <w:r w:rsidRPr="00F76A98">
        <w:t>read</w:t>
      </w:r>
      <w:r>
        <w:t>ing</w:t>
      </w:r>
      <w:r w:rsidRPr="00F76A98">
        <w:t xml:space="preserve"> them</w:t>
      </w:r>
      <w:bookmarkEnd w:id="2"/>
    </w:p>
    <w:p w14:paraId="3E2362BC" w14:textId="77777777" w:rsidR="00CD2228" w:rsidRDefault="00CD2228" w:rsidP="00CD2228">
      <w:pPr>
        <w:pStyle w:val="references"/>
        <w:numPr>
          <w:ilvl w:val="0"/>
          <w:numId w:val="0"/>
        </w:numPr>
        <w:ind w:left="720" w:hanging="360"/>
      </w:pPr>
    </w:p>
    <w:p w14:paraId="15D43DD7" w14:textId="77777777" w:rsidR="00CD2228" w:rsidRDefault="00CD2228" w:rsidP="00CD2228">
      <w:pPr>
        <w:pStyle w:val="references"/>
        <w:numPr>
          <w:ilvl w:val="0"/>
          <w:numId w:val="0"/>
        </w:numPr>
        <w:ind w:left="720" w:hanging="360"/>
      </w:pPr>
    </w:p>
    <w:p w14:paraId="6A2E221C" w14:textId="77777777" w:rsidR="00CD2228" w:rsidRDefault="00CD2228" w:rsidP="00CD2228">
      <w:pPr>
        <w:pStyle w:val="references"/>
      </w:pPr>
      <w:r>
        <w:t xml:space="preserve">J. Tang, H. Shoemaker, A. Lerner, and E. Birrell, “Defining privacy: How users interpret technical terms in privacy policies,” </w:t>
      </w:r>
      <w:r>
        <w:rPr>
          <w:i/>
          <w:iCs/>
        </w:rPr>
        <w:t>Proceedings on Privacy Enhancing Technologies</w:t>
      </w:r>
      <w:r>
        <w:t>, vol. 2021, no. 3, pp. 70–94, Apr. 2021. doi:10.2478/popets-2021-0038</w:t>
      </w:r>
    </w:p>
    <w:p w14:paraId="7DF4DEEF" w14:textId="77777777" w:rsidR="00CD2228" w:rsidRDefault="00CD2228" w:rsidP="00CD2228">
      <w:pPr>
        <w:pStyle w:val="references"/>
        <w:numPr>
          <w:ilvl w:val="0"/>
          <w:numId w:val="0"/>
        </w:numPr>
        <w:ind w:left="360" w:hanging="360"/>
      </w:pPr>
    </w:p>
    <w:p w14:paraId="09C45B9F" w14:textId="225F77FA" w:rsidR="00CD2228" w:rsidRDefault="00CD2228" w:rsidP="00CD2228">
      <w:pPr>
        <w:pStyle w:val="references"/>
        <w:numPr>
          <w:ilvl w:val="0"/>
          <w:numId w:val="0"/>
        </w:numPr>
        <w:ind w:left="720" w:hanging="360"/>
      </w:pPr>
      <w:r w:rsidRPr="00F76A98">
        <w:t>Complex legal and technical terms used to make sure a compan</w:t>
      </w:r>
      <w:r>
        <w:t>y</w:t>
      </w:r>
      <w:r w:rsidRPr="00F76A98">
        <w:t xml:space="preserve"> does</w:t>
      </w:r>
      <w:r>
        <w:t xml:space="preserve"> not</w:t>
      </w:r>
      <w:r w:rsidRPr="00F76A98">
        <w:t xml:space="preserve"> open </w:t>
      </w:r>
      <w:r>
        <w:t>it</w:t>
      </w:r>
      <w:r w:rsidRPr="00F76A98">
        <w:t>sel</w:t>
      </w:r>
      <w:r>
        <w:t>f</w:t>
      </w:r>
      <w:r w:rsidRPr="00F76A98">
        <w:t xml:space="preserve"> up to a </w:t>
      </w:r>
      <w:r>
        <w:t>lawsuit</w:t>
      </w:r>
      <w:r w:rsidRPr="00F76A98">
        <w:t xml:space="preserve"> can in turn make the policy less understandable</w:t>
      </w:r>
    </w:p>
    <w:p w14:paraId="42689807" w14:textId="77777777" w:rsidR="00CD2228" w:rsidRDefault="00CD2228" w:rsidP="00CD2228">
      <w:pPr>
        <w:pStyle w:val="references"/>
        <w:numPr>
          <w:ilvl w:val="0"/>
          <w:numId w:val="0"/>
        </w:numPr>
        <w:ind w:left="720" w:hanging="360"/>
      </w:pPr>
    </w:p>
    <w:p w14:paraId="06DF857C" w14:textId="77777777" w:rsidR="00CD2228" w:rsidRDefault="00CD2228" w:rsidP="00CD2228">
      <w:pPr>
        <w:pStyle w:val="references"/>
      </w:pPr>
      <w:r>
        <w:t xml:space="preserve">Office of the Privacy Commissioner of Canada, “Submission of the office of the privacy commissioner of Canada on the Competition Act Reform,” Office of the Privacy Commissioner of Canada, https://www.priv.gc.ca/en/opc-actions-and-decisions/submissions-to-consultations/sub_competion_230320/ (accessed Feb. 9, 2024).  </w:t>
      </w:r>
    </w:p>
    <w:p w14:paraId="49BFAE07" w14:textId="77777777" w:rsidR="00CD2228" w:rsidRDefault="00CD2228" w:rsidP="00CD2228">
      <w:pPr>
        <w:pStyle w:val="references"/>
        <w:numPr>
          <w:ilvl w:val="0"/>
          <w:numId w:val="0"/>
        </w:numPr>
        <w:ind w:left="360"/>
      </w:pPr>
    </w:p>
    <w:p w14:paraId="05D98C5F" w14:textId="77777777" w:rsidR="00CD2228" w:rsidRDefault="00CD2228" w:rsidP="00CD2228">
      <w:pPr>
        <w:pStyle w:val="references"/>
        <w:numPr>
          <w:ilvl w:val="0"/>
          <w:numId w:val="0"/>
        </w:numPr>
        <w:ind w:left="720" w:hanging="360"/>
      </w:pPr>
      <w:r>
        <w:t xml:space="preserve">Currently, there </w:t>
      </w:r>
      <w:bookmarkStart w:id="3" w:name="_Hlk162791290"/>
      <w:r>
        <w:t>is a pressing need for a more precise definition of malpractice in acquiring consent, as individuals are increasingly susceptible to manipulation, resulting in decisions they might not have otherwise made</w:t>
      </w:r>
    </w:p>
    <w:bookmarkEnd w:id="3"/>
    <w:p w14:paraId="1C33AF52" w14:textId="77777777" w:rsidR="00CD2228" w:rsidRDefault="00CD2228" w:rsidP="00CD2228">
      <w:pPr>
        <w:pStyle w:val="references"/>
        <w:numPr>
          <w:ilvl w:val="0"/>
          <w:numId w:val="0"/>
        </w:numPr>
        <w:ind w:left="720"/>
      </w:pPr>
    </w:p>
    <w:p w14:paraId="748BF665" w14:textId="36531CDF" w:rsidR="00E33A31" w:rsidRDefault="00E33A31" w:rsidP="00E33A31">
      <w:pPr>
        <w:pStyle w:val="references"/>
        <w:rPr>
          <w:lang w:val="en-CA"/>
        </w:rPr>
      </w:pPr>
      <w:r>
        <w:t xml:space="preserve">L. R. Fowler, C. Gillard, and S. R. Morain, “Readability and accessibility of terms of service and privacy policies for menstruation-tracking smartphone applications,” </w:t>
      </w:r>
      <w:r>
        <w:rPr>
          <w:i/>
          <w:iCs/>
        </w:rPr>
        <w:t>Health Promotion Practice</w:t>
      </w:r>
      <w:r>
        <w:t xml:space="preserve">, vol. 21, no. 5, pp. 679–683, Feb. 2020. doi:10.1177/1524839919899924 </w:t>
      </w:r>
    </w:p>
    <w:p w14:paraId="329E79CD" w14:textId="2B2ADCD3" w:rsidR="00CD2228" w:rsidRDefault="00CD2228" w:rsidP="00E33A31">
      <w:pPr>
        <w:pStyle w:val="references"/>
        <w:numPr>
          <w:ilvl w:val="0"/>
          <w:numId w:val="0"/>
        </w:numPr>
        <w:ind w:left="720"/>
        <w:rPr>
          <w:lang w:val="en-CA"/>
        </w:rPr>
      </w:pPr>
    </w:p>
    <w:p w14:paraId="31DAA994" w14:textId="6E7189BA" w:rsidR="00E33A31" w:rsidRDefault="00E33A31" w:rsidP="00E33A31">
      <w:pPr>
        <w:pStyle w:val="references"/>
        <w:numPr>
          <w:ilvl w:val="0"/>
          <w:numId w:val="0"/>
        </w:numPr>
        <w:ind w:left="720"/>
      </w:pPr>
      <w:r w:rsidRPr="00E33A31">
        <w:t xml:space="preserve">In some apps, </w:t>
      </w:r>
      <w:bookmarkStart w:id="4" w:name="_Hlk162796149"/>
      <w:r w:rsidRPr="00E33A31">
        <w:t>users would have to navigate through several screens to find these documents if made available at all. Others would need to access the developer’s website or the app store to locate them. Others still were unavailable, requiring communication directly with the company.</w:t>
      </w:r>
      <w:bookmarkEnd w:id="4"/>
    </w:p>
    <w:p w14:paraId="3CDF30F3" w14:textId="77777777" w:rsidR="00E33A31" w:rsidRDefault="00E33A31" w:rsidP="00E33A31">
      <w:pPr>
        <w:pStyle w:val="references"/>
        <w:numPr>
          <w:ilvl w:val="0"/>
          <w:numId w:val="0"/>
        </w:numPr>
        <w:ind w:left="720"/>
      </w:pPr>
    </w:p>
    <w:p w14:paraId="1AC0915C" w14:textId="712BD594" w:rsidR="00E33A31" w:rsidRPr="00E33A31" w:rsidRDefault="00E33A31" w:rsidP="00E33A31">
      <w:pPr>
        <w:pStyle w:val="references"/>
        <w:rPr>
          <w:lang w:val="en-CA"/>
        </w:rPr>
      </w:pPr>
      <w:r>
        <w:t xml:space="preserve">Y. Chang, S. F. Wong, C. F. Libaque-Saenz, and H. Lee, “The role of privacy policy on consumers’ perceived privacy,” </w:t>
      </w:r>
      <w:r>
        <w:rPr>
          <w:i/>
          <w:iCs/>
        </w:rPr>
        <w:t>Government Information Quarterly</w:t>
      </w:r>
      <w:r>
        <w:t xml:space="preserve">, vol. 35, no. 3, pp. 445–459, Sep. 2018. doi:10.1016/j.giq.2018.04.002 </w:t>
      </w:r>
    </w:p>
    <w:p w14:paraId="333A7EB5" w14:textId="77777777" w:rsidR="00E33A31" w:rsidRDefault="00E33A31" w:rsidP="00E33A31">
      <w:pPr>
        <w:pStyle w:val="references"/>
        <w:numPr>
          <w:ilvl w:val="0"/>
          <w:numId w:val="0"/>
        </w:numPr>
        <w:ind w:left="360"/>
      </w:pPr>
    </w:p>
    <w:p w14:paraId="6EFCB6C9" w14:textId="2A9F3EC0" w:rsidR="00ED21E7" w:rsidRDefault="00ED21E7" w:rsidP="00ED21E7">
      <w:pPr>
        <w:pStyle w:val="references"/>
        <w:numPr>
          <w:ilvl w:val="0"/>
          <w:numId w:val="0"/>
        </w:numPr>
        <w:ind w:left="720"/>
        <w:rPr>
          <w:lang w:val="en-CA"/>
        </w:rPr>
      </w:pPr>
      <w:r w:rsidRPr="00ED21E7">
        <w:rPr>
          <w:lang w:val="en-CA"/>
        </w:rPr>
        <w:t>Customers value the enforcement clause in the FIPPs that provides an assurance that a mechanism is in place to govern</w:t>
      </w:r>
      <w:r>
        <w:rPr>
          <w:lang w:val="en-CA"/>
        </w:rPr>
        <w:t xml:space="preserve"> </w:t>
      </w:r>
      <w:r w:rsidRPr="00ED21E7">
        <w:rPr>
          <w:lang w:val="en-CA"/>
        </w:rPr>
        <w:t>the disclosure, sharing and use of their financial data.</w:t>
      </w:r>
    </w:p>
    <w:p w14:paraId="2156563C" w14:textId="77777777" w:rsidR="005A1830" w:rsidRDefault="005A1830" w:rsidP="005A1830">
      <w:pPr>
        <w:pStyle w:val="references"/>
        <w:numPr>
          <w:ilvl w:val="0"/>
          <w:numId w:val="0"/>
        </w:numPr>
        <w:ind w:left="360" w:hanging="360"/>
        <w:rPr>
          <w:lang w:val="en-CA"/>
        </w:rPr>
      </w:pPr>
    </w:p>
    <w:p w14:paraId="773D7BE3" w14:textId="77777777" w:rsidR="005A1830" w:rsidRDefault="005A1830" w:rsidP="005A1830">
      <w:pPr>
        <w:pStyle w:val="references"/>
        <w:numPr>
          <w:ilvl w:val="0"/>
          <w:numId w:val="0"/>
        </w:numPr>
        <w:ind w:left="360" w:hanging="360"/>
        <w:rPr>
          <w:lang w:val="en-CA"/>
        </w:rPr>
      </w:pPr>
    </w:p>
    <w:p w14:paraId="3F34E9DE" w14:textId="77777777" w:rsidR="005A1830" w:rsidRDefault="005A1830" w:rsidP="005A1830">
      <w:pPr>
        <w:pStyle w:val="references"/>
        <w:numPr>
          <w:ilvl w:val="0"/>
          <w:numId w:val="0"/>
        </w:numPr>
        <w:ind w:left="360" w:hanging="360"/>
        <w:rPr>
          <w:lang w:val="en-CA"/>
        </w:rPr>
      </w:pPr>
    </w:p>
    <w:p w14:paraId="5938175A" w14:textId="77777777" w:rsidR="005A1830" w:rsidRDefault="005A1830" w:rsidP="005A1830">
      <w:pPr>
        <w:pStyle w:val="references"/>
        <w:numPr>
          <w:ilvl w:val="0"/>
          <w:numId w:val="0"/>
        </w:numPr>
        <w:ind w:left="360" w:hanging="360"/>
        <w:rPr>
          <w:lang w:val="en-CA"/>
        </w:rPr>
      </w:pPr>
    </w:p>
    <w:p w14:paraId="24B42911" w14:textId="77777777" w:rsidR="005A1830" w:rsidRPr="00B05AF4" w:rsidRDefault="005A1830" w:rsidP="005A1830">
      <w:pPr>
        <w:pStyle w:val="references"/>
        <w:rPr>
          <w:lang w:val="en-CA"/>
        </w:rPr>
      </w:pPr>
      <w:r>
        <w:lastRenderedPageBreak/>
        <w:t xml:space="preserve">[1] Y. O’Connor, W. Rowan, L. Lynch, and C. Heavin, “Privacy by design: Informed consent and internet of things for smart health,” </w:t>
      </w:r>
      <w:r>
        <w:rPr>
          <w:i/>
          <w:iCs/>
        </w:rPr>
        <w:t>Procedia Computer Science</w:t>
      </w:r>
      <w:r>
        <w:t xml:space="preserve">, vol. 113, pp. 653–658, 2017. doi:10.1016/j.procs.2017.08.329 </w:t>
      </w:r>
    </w:p>
    <w:p w14:paraId="2E982B79" w14:textId="77777777" w:rsidR="005A1830" w:rsidRDefault="005A1830" w:rsidP="005A1830">
      <w:pPr>
        <w:pStyle w:val="references"/>
        <w:numPr>
          <w:ilvl w:val="0"/>
          <w:numId w:val="0"/>
        </w:numPr>
        <w:ind w:left="360" w:firstLine="360"/>
      </w:pPr>
    </w:p>
    <w:p w14:paraId="1EC88093" w14:textId="77777777" w:rsidR="005A1830" w:rsidRPr="00CD2228" w:rsidRDefault="005A1830" w:rsidP="005A1830">
      <w:pPr>
        <w:pStyle w:val="references"/>
        <w:numPr>
          <w:ilvl w:val="0"/>
          <w:numId w:val="0"/>
        </w:numPr>
        <w:ind w:left="360"/>
      </w:pPr>
      <w:bookmarkStart w:id="5" w:name="_Hlk162800445"/>
      <w:r>
        <w:t>The eConsent process must highlight in simple language (and across a variety of languages) what the terms and conditions/privacy policy document imply. Introducing a quiz on the statements could be a beneficial step in identifying what users know and understand about the terms and conditions.</w:t>
      </w:r>
    </w:p>
    <w:bookmarkEnd w:id="5"/>
    <w:p w14:paraId="41604141" w14:textId="77777777" w:rsidR="005A1830" w:rsidRPr="005A1830" w:rsidRDefault="005A1830" w:rsidP="005A1830">
      <w:pPr>
        <w:pStyle w:val="references"/>
        <w:numPr>
          <w:ilvl w:val="0"/>
          <w:numId w:val="0"/>
        </w:numPr>
        <w:ind w:left="360" w:hanging="360"/>
      </w:pPr>
    </w:p>
    <w:p w14:paraId="6F87BC3E" w14:textId="77777777" w:rsidR="00673F3F" w:rsidRPr="00ED21E7" w:rsidRDefault="00673F3F" w:rsidP="00ED21E7">
      <w:pPr>
        <w:pStyle w:val="references"/>
        <w:numPr>
          <w:ilvl w:val="0"/>
          <w:numId w:val="0"/>
        </w:numPr>
        <w:ind w:left="720"/>
        <w:rPr>
          <w:lang w:val="en-CA"/>
        </w:rPr>
      </w:pPr>
    </w:p>
    <w:p w14:paraId="2CCD8434" w14:textId="1A54DFB4" w:rsidR="00673F3F" w:rsidRDefault="00E33A31" w:rsidP="00673F3F">
      <w:pPr>
        <w:pStyle w:val="references"/>
        <w:rPr>
          <w:lang w:val="en-CA"/>
        </w:rPr>
      </w:pPr>
      <w:bookmarkStart w:id="6" w:name="_Hlk162797454"/>
      <w:r>
        <w:t>Office of the Privacy Commissioner of Canada</w:t>
      </w:r>
      <w:bookmarkEnd w:id="6"/>
      <w:r>
        <w:t xml:space="preserve">, “Guidelines for obtaining meaningful consent,” Office of the Privacy Commissioner of Canada, https://www.priv.gc.ca/en/privacy-topics/collecting-personal-information/consent/gl_omc_201805/ (accessed Mar. 18, 2024). </w:t>
      </w:r>
    </w:p>
    <w:p w14:paraId="16E65577" w14:textId="77777777" w:rsidR="00673F3F" w:rsidRPr="00673F3F" w:rsidRDefault="00673F3F" w:rsidP="00673F3F">
      <w:pPr>
        <w:pStyle w:val="references"/>
        <w:numPr>
          <w:ilvl w:val="0"/>
          <w:numId w:val="0"/>
        </w:numPr>
        <w:rPr>
          <w:lang w:val="en-CA"/>
        </w:rPr>
      </w:pPr>
    </w:p>
    <w:p w14:paraId="1664FA48" w14:textId="0188BA2C" w:rsidR="0026349C" w:rsidRPr="00ED21E7" w:rsidRDefault="0026349C" w:rsidP="0026349C">
      <w:pPr>
        <w:pStyle w:val="references"/>
        <w:numPr>
          <w:ilvl w:val="0"/>
          <w:numId w:val="0"/>
        </w:numPr>
        <w:ind w:left="720"/>
        <w:rPr>
          <w:lang w:val="en-CA"/>
        </w:rPr>
      </w:pPr>
      <w:bookmarkStart w:id="7" w:name="_Hlk162797535"/>
      <w:r>
        <w:t xml:space="preserve">Consent must </w:t>
      </w:r>
      <w:r w:rsidRPr="0026349C">
        <w:t>Emphasize key elements</w:t>
      </w:r>
      <w:r>
        <w:t xml:space="preserve">, </w:t>
      </w:r>
      <w:r w:rsidRPr="0026349C">
        <w:t>Allow individuals to control the level of detail they get and when</w:t>
      </w:r>
      <w:r>
        <w:t xml:space="preserve">, </w:t>
      </w:r>
      <w:r w:rsidRPr="0026349C">
        <w:t>Provide individuals with clear options to say ‘yes’ or ‘no’</w:t>
      </w:r>
      <w:r>
        <w:t xml:space="preserve">, </w:t>
      </w:r>
      <w:r w:rsidRPr="0026349C">
        <w:t>Make consent a dynamic and ongoing process</w:t>
      </w:r>
    </w:p>
    <w:bookmarkEnd w:id="7"/>
    <w:p w14:paraId="4EA55E88" w14:textId="77777777" w:rsidR="00B05AF4" w:rsidRDefault="00B05AF4" w:rsidP="00B05AF4">
      <w:pPr>
        <w:pStyle w:val="references"/>
        <w:numPr>
          <w:ilvl w:val="0"/>
          <w:numId w:val="0"/>
        </w:numPr>
        <w:ind w:left="720"/>
      </w:pPr>
    </w:p>
    <w:sectPr w:rsidR="00B05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96846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29"/>
    <w:rsid w:val="0026349C"/>
    <w:rsid w:val="005A1830"/>
    <w:rsid w:val="00673F3F"/>
    <w:rsid w:val="00B05AF4"/>
    <w:rsid w:val="00BD7DB7"/>
    <w:rsid w:val="00CD2228"/>
    <w:rsid w:val="00D33529"/>
    <w:rsid w:val="00E02930"/>
    <w:rsid w:val="00E33A31"/>
    <w:rsid w:val="00ED21E7"/>
    <w:rsid w:val="00FA5606"/>
    <w:rsid w:val="00FD2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A79B"/>
  <w15:chartTrackingRefBased/>
  <w15:docId w15:val="{9B64F82C-B0E5-406C-B6DD-1A827C1D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33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35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5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5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5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5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5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5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29"/>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D33529"/>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33529"/>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33529"/>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33529"/>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33529"/>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33529"/>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33529"/>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33529"/>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335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529"/>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335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529"/>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33529"/>
    <w:pPr>
      <w:spacing w:before="160"/>
      <w:jc w:val="center"/>
    </w:pPr>
    <w:rPr>
      <w:i/>
      <w:iCs/>
      <w:color w:val="404040" w:themeColor="text1" w:themeTint="BF"/>
    </w:rPr>
  </w:style>
  <w:style w:type="character" w:customStyle="1" w:styleId="QuoteChar">
    <w:name w:val="Quote Char"/>
    <w:basedOn w:val="DefaultParagraphFont"/>
    <w:link w:val="Quote"/>
    <w:uiPriority w:val="29"/>
    <w:rsid w:val="00D33529"/>
    <w:rPr>
      <w:i/>
      <w:iCs/>
      <w:color w:val="404040" w:themeColor="text1" w:themeTint="BF"/>
      <w:lang w:val="en-US"/>
    </w:rPr>
  </w:style>
  <w:style w:type="paragraph" w:styleId="ListParagraph">
    <w:name w:val="List Paragraph"/>
    <w:basedOn w:val="Normal"/>
    <w:uiPriority w:val="34"/>
    <w:qFormat/>
    <w:rsid w:val="00D33529"/>
    <w:pPr>
      <w:ind w:left="720"/>
      <w:contextualSpacing/>
    </w:pPr>
  </w:style>
  <w:style w:type="character" w:styleId="IntenseEmphasis">
    <w:name w:val="Intense Emphasis"/>
    <w:basedOn w:val="DefaultParagraphFont"/>
    <w:uiPriority w:val="21"/>
    <w:qFormat/>
    <w:rsid w:val="00D33529"/>
    <w:rPr>
      <w:i/>
      <w:iCs/>
      <w:color w:val="0F4761" w:themeColor="accent1" w:themeShade="BF"/>
    </w:rPr>
  </w:style>
  <w:style w:type="paragraph" w:styleId="IntenseQuote">
    <w:name w:val="Intense Quote"/>
    <w:basedOn w:val="Normal"/>
    <w:next w:val="Normal"/>
    <w:link w:val="IntenseQuoteChar"/>
    <w:uiPriority w:val="30"/>
    <w:qFormat/>
    <w:rsid w:val="00D33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529"/>
    <w:rPr>
      <w:i/>
      <w:iCs/>
      <w:color w:val="0F4761" w:themeColor="accent1" w:themeShade="BF"/>
      <w:lang w:val="en-US"/>
    </w:rPr>
  </w:style>
  <w:style w:type="character" w:styleId="IntenseReference">
    <w:name w:val="Intense Reference"/>
    <w:basedOn w:val="DefaultParagraphFont"/>
    <w:uiPriority w:val="32"/>
    <w:qFormat/>
    <w:rsid w:val="00D33529"/>
    <w:rPr>
      <w:b/>
      <w:bCs/>
      <w:smallCaps/>
      <w:color w:val="0F4761" w:themeColor="accent1" w:themeShade="BF"/>
      <w:spacing w:val="5"/>
    </w:rPr>
  </w:style>
  <w:style w:type="paragraph" w:customStyle="1" w:styleId="references">
    <w:name w:val="references"/>
    <w:rsid w:val="00CD2228"/>
    <w:pPr>
      <w:numPr>
        <w:numId w:val="1"/>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NormalWeb">
    <w:name w:val="Normal (Web)"/>
    <w:basedOn w:val="Normal"/>
    <w:uiPriority w:val="99"/>
    <w:semiHidden/>
    <w:unhideWhenUsed/>
    <w:rsid w:val="00E33A31"/>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1907">
      <w:bodyDiv w:val="1"/>
      <w:marLeft w:val="0"/>
      <w:marRight w:val="0"/>
      <w:marTop w:val="0"/>
      <w:marBottom w:val="0"/>
      <w:divBdr>
        <w:top w:val="none" w:sz="0" w:space="0" w:color="auto"/>
        <w:left w:val="none" w:sz="0" w:space="0" w:color="auto"/>
        <w:bottom w:val="none" w:sz="0" w:space="0" w:color="auto"/>
        <w:right w:val="none" w:sz="0" w:space="0" w:color="auto"/>
      </w:divBdr>
    </w:div>
    <w:div w:id="389041413">
      <w:bodyDiv w:val="1"/>
      <w:marLeft w:val="0"/>
      <w:marRight w:val="0"/>
      <w:marTop w:val="0"/>
      <w:marBottom w:val="0"/>
      <w:divBdr>
        <w:top w:val="none" w:sz="0" w:space="0" w:color="auto"/>
        <w:left w:val="none" w:sz="0" w:space="0" w:color="auto"/>
        <w:bottom w:val="none" w:sz="0" w:space="0" w:color="auto"/>
        <w:right w:val="none" w:sz="0" w:space="0" w:color="auto"/>
      </w:divBdr>
    </w:div>
    <w:div w:id="1153328139">
      <w:bodyDiv w:val="1"/>
      <w:marLeft w:val="0"/>
      <w:marRight w:val="0"/>
      <w:marTop w:val="0"/>
      <w:marBottom w:val="0"/>
      <w:divBdr>
        <w:top w:val="none" w:sz="0" w:space="0" w:color="auto"/>
        <w:left w:val="none" w:sz="0" w:space="0" w:color="auto"/>
        <w:bottom w:val="none" w:sz="0" w:space="0" w:color="auto"/>
        <w:right w:val="none" w:sz="0" w:space="0" w:color="auto"/>
      </w:divBdr>
    </w:div>
    <w:div w:id="1197229503">
      <w:bodyDiv w:val="1"/>
      <w:marLeft w:val="0"/>
      <w:marRight w:val="0"/>
      <w:marTop w:val="0"/>
      <w:marBottom w:val="0"/>
      <w:divBdr>
        <w:top w:val="none" w:sz="0" w:space="0" w:color="auto"/>
        <w:left w:val="none" w:sz="0" w:space="0" w:color="auto"/>
        <w:bottom w:val="none" w:sz="0" w:space="0" w:color="auto"/>
        <w:right w:val="none" w:sz="0" w:space="0" w:color="auto"/>
      </w:divBdr>
    </w:div>
    <w:div w:id="20531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Nygard, Sam H.</dc:creator>
  <cp:keywords/>
  <dc:description/>
  <cp:lastModifiedBy>Nygard, Sam H.</cp:lastModifiedBy>
  <cp:revision>4</cp:revision>
  <dcterms:created xsi:type="dcterms:W3CDTF">2024-03-18T15:31:00Z</dcterms:created>
  <dcterms:modified xsi:type="dcterms:W3CDTF">2024-04-01T01:09:00Z</dcterms:modified>
</cp:coreProperties>
</file>