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gridSpan w:val="2"/>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after="100"/>
              <w:jc w:val="center"/>
            </w:pPr>
            <w:r>
              <w:rPr>
                <w:rFonts w:ascii="Arial" w:cs="Arial" w:eastAsia="Arial" w:hAnsi="Arial"/>
                <w:b/>
                <w:bCs/>
                <w:color w:val="FFFFFF"/>
                <w:sz w:val="48"/>
                <w:szCs w:val="48"/>
              </w:rPr>
              <w:t xml:space="preserve">Generative AI Analysis and Ethics Report</w:t>
            </w:r>
          </w:p>
          <w:p>
            <w:pPr>
              <w:jc w:val="center"/>
            </w:pPr>
            <w:r>
              <w:rPr>
                <w:rFonts w:ascii="Arial" w:cs="Arial" w:eastAsia="Arial" w:hAnsi="Arial"/>
                <w:color w:val="DDEEFC"/>
                <w:sz w:val="26"/>
                <w:szCs w:val="26"/>
              </w:rPr>
              <w:t xml:space="preserve">Variational Autoencoder for Synthetic Brain MRI Generation</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Project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 — Generative AI Applications</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Subtitle</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Implementation of Generative Models and Responsible Innovation</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Author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Qeis Kamran</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Program</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Udacity Machine Learning Engineer Nanodegree</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Model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Convolutional Variational Autoencoder (CVAE)</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Dataset</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OASIS-1 Longitudinal MRI Study (Marcus et al., 2007)</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19"/>
                <w:szCs w:val="19"/>
              </w:rPr>
              <w:t xml:space="preserve">Date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March 2026</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6"/>
              <w:left w:val="single" w:color="2E6DA4" w:sz="6"/>
              <w:bottom w:val="single" w:color="2E6DA4" w:sz="6"/>
              <w:right w:val="single" w:color="2E6DA4" w:sz="6"/>
            </w:tcBorders>
            <w:shd w:fill="F5F5F5" w:val="clear"/>
            <w:tcMar>
              <w:top w:type="dxa" w:w="140"/>
              <w:left w:type="dxa" w:w="180"/>
              <w:bottom w:type="dxa" w:w="140"/>
              <w:right w:type="dxa" w:w="180"/>
            </w:tcMar>
          </w:tcPr>
          <w:p>
            <w:r>
              <w:rPr>
                <w:rFonts w:ascii="Arial" w:cs="Arial" w:eastAsia="Arial" w:hAnsi="Arial"/>
                <w:b/>
                <w:bCs/>
                <w:color w:val="1A3A5C"/>
                <w:sz w:val="20"/>
                <w:szCs w:val="20"/>
              </w:rPr>
              <w:t xml:space="preserve">Abstract</w:t>
            </w:r>
          </w:p>
          <w:p>
            <w:pPr>
              <w:spacing w:before="60"/>
              <w:jc w:val="both"/>
            </w:pPr>
            <w:r>
              <w:rPr>
                <w:rFonts w:ascii="Arial" w:cs="Arial" w:eastAsia="Arial" w:hAnsi="Arial"/>
                <w:color w:val="333333"/>
                <w:sz w:val="19"/>
                <w:szCs w:val="19"/>
              </w:rPr>
              <w:t xml:space="preserve">This report documents the design, implementation, training, evaluation, and ethical analysis of a Convolutional Variational Autoencoder (CVAE) trained on axial brain MRI slices from the OASIS-1 neuroimaging dataset. The generative task is synthetic brain MRI generation via latent space sampling. The report addresses model architecture, training methodology, output quality assessment, ethical considerations specific to medical AI, and directions for future improvement. All findings are grounded in the actual model implementation and generated outputs produced during the project.</w:t>
            </w:r>
          </w:p>
        </w:tc>
      </w:tr>
    </w:tbl>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1. Overview</w:t>
      </w:r>
    </w:p>
    <w:p>
      <w:pPr>
        <w:spacing w:after="160" w:line="276"/>
        <w:jc w:val="both"/>
      </w:pPr>
      <w:r>
        <w:rPr>
          <w:rFonts w:ascii="Arial" w:cs="Arial" w:eastAsia="Arial" w:hAnsi="Arial"/>
          <w:b w:val="false"/>
          <w:bCs w:val="false"/>
          <w:color w:val="333333"/>
          <w:sz w:val="20"/>
          <w:szCs w:val="20"/>
        </w:rPr>
        <w:t xml:space="preserve">This project implements a </w:t>
      </w:r>
      <w:r>
        <w:rPr>
          <w:rFonts w:ascii="Arial" w:cs="Arial" w:eastAsia="Arial" w:hAnsi="Arial"/>
          <w:b/>
          <w:bCs/>
          <w:color w:val="333333"/>
          <w:sz w:val="20"/>
          <w:szCs w:val="20"/>
        </w:rPr>
        <w:t xml:space="preserve">Convolutional Variational Autoencoder (CVAE)</w:t>
      </w:r>
      <w:r>
        <w:rPr>
          <w:rFonts w:ascii="Arial" w:cs="Arial" w:eastAsia="Arial" w:hAnsi="Arial"/>
          <w:b w:val="false"/>
          <w:bCs w:val="false"/>
          <w:color w:val="333333"/>
          <w:sz w:val="20"/>
          <w:szCs w:val="20"/>
        </w:rPr>
        <w:t xml:space="preserve"> for the generative task of synthetic brain MRI slice generation. The model learns a compressed probabilistic latent representation of T1-weighted axial brain MRI images and produces novel synthetic slices by sampling from the learned latent distribution. The dataset used is </w:t>
      </w:r>
      <w:r>
        <w:rPr>
          <w:rFonts w:ascii="Arial" w:cs="Arial" w:eastAsia="Arial" w:hAnsi="Arial"/>
          <w:b/>
          <w:bCs/>
          <w:color w:val="333333"/>
          <w:sz w:val="20"/>
          <w:szCs w:val="20"/>
        </w:rPr>
        <w:t xml:space="preserve">OASIS-1</w:t>
      </w:r>
      <w:r>
        <w:rPr>
          <w:rFonts w:ascii="Arial" w:cs="Arial" w:eastAsia="Arial" w:hAnsi="Arial"/>
          <w:b w:val="false"/>
          <w:bCs w:val="false"/>
          <w:color w:val="333333"/>
          <w:sz w:val="20"/>
          <w:szCs w:val="20"/>
        </w:rPr>
        <w:t xml:space="preserve"> (Open Access Series of Imaging Studies), a publicly available, peer-reviewed neuroimaging corpus covering 416 subjects across the spectrum of healthy aging and Alzheimer's disease (Marcus et al., 2007).</w:t>
      </w:r>
    </w:p>
    <w:p>
      <w:pPr>
        <w:spacing w:after="160" w:line="276"/>
        <w:jc w:val="both"/>
      </w:pPr>
      <w:r>
        <w:rPr>
          <w:rFonts w:ascii="Arial" w:cs="Arial" w:eastAsia="Arial" w:hAnsi="Arial"/>
          <w:b w:val="false"/>
          <w:bCs w:val="false"/>
          <w:color w:val="333333"/>
          <w:sz w:val="20"/>
          <w:szCs w:val="20"/>
        </w:rPr>
        <w:t xml:space="preserve">The choice of generative task is directly motivated by the clinical context of dementia early detection. Synthetic medical image generation addresses a critical bottleneck in diagnostic AI development: the scarcity of labelled neuroimaging data, particularly for underrepresented disease stages such as mild cognitive impairment (MCI). A VAE-based generative system trained on real OASIS data can serve as a principled data augmentation backbone for downstream classification pipelines (Shorten and Khoshgoftaar, 2019).</w:t>
      </w:r>
    </w:p>
    <w:p>
      <w:pPr>
        <w:spacing w:after="160" w:line="276"/>
        <w:jc w:val="both"/>
      </w:pPr>
      <w:r>
        <w:rPr>
          <w:rFonts w:ascii="Arial" w:cs="Arial" w:eastAsia="Arial" w:hAnsi="Arial"/>
          <w:b w:val="false"/>
          <w:bCs w:val="false"/>
          <w:color w:val="333333"/>
          <w:sz w:val="20"/>
          <w:szCs w:val="20"/>
        </w:rPr>
        <w:t xml:space="preserve">The Variational Autoencoder framework (Kingma and Welling, 2013) was selected over alternative generative architectures — specifically Generative Adversarial Networks (Goodfellow et al., 2014) and diffusion models (Ho et al., 2020) — because VAEs offer a single stable training objective, a mathematically grounded latent space, and superior performance under data scarcity. The complete implementation is provided in the accompanying notebook generative_model.ipynb.</w:t>
      </w:r>
    </w:p>
    <w:p>
      <w:pPr>
        <w:pStyle w:val="Heading1"/>
        <w:pBdr>
          <w:bottom w:val="single" w:color="2E6DA4" w:sz="8" w:space="4"/>
        </w:pBdr>
        <w:spacing w:before="320" w:after="160"/>
      </w:pPr>
      <w:r>
        <w:rPr>
          <w:rFonts w:ascii="Arial" w:cs="Arial" w:eastAsia="Arial" w:hAnsi="Arial"/>
          <w:b/>
          <w:bCs/>
          <w:color w:val="1A3A5C"/>
          <w:sz w:val="28"/>
          <w:szCs w:val="28"/>
        </w:rPr>
        <w:t xml:space="preserve">2. Dataset and Prompt Description</w:t>
      </w:r>
    </w:p>
    <w:p>
      <w:pPr>
        <w:pStyle w:val="Heading2"/>
        <w:spacing w:before="220" w:after="100"/>
      </w:pPr>
      <w:r>
        <w:rPr>
          <w:rFonts w:ascii="Arial" w:cs="Arial" w:eastAsia="Arial" w:hAnsi="Arial"/>
          <w:b/>
          <w:bCs/>
          <w:color w:val="2E6DA4"/>
          <w:sz w:val="22"/>
          <w:szCs w:val="22"/>
        </w:rPr>
        <w:t xml:space="preserve">2.1 Dataset: OASIS-1 Longitudinal MRI Study</w:t>
      </w:r>
    </w:p>
    <w:p>
      <w:pPr>
        <w:spacing w:after="160" w:line="276"/>
        <w:jc w:val="both"/>
      </w:pPr>
      <w:r>
        <w:rPr>
          <w:rFonts w:ascii="Arial" w:cs="Arial" w:eastAsia="Arial" w:hAnsi="Arial"/>
          <w:b w:val="false"/>
          <w:bCs w:val="false"/>
          <w:color w:val="333333"/>
          <w:sz w:val="20"/>
          <w:szCs w:val="20"/>
        </w:rPr>
        <w:t xml:space="preserve">The </w:t>
      </w:r>
      <w:r>
        <w:rPr>
          <w:rFonts w:ascii="Arial" w:cs="Arial" w:eastAsia="Arial" w:hAnsi="Arial"/>
          <w:b/>
          <w:bCs/>
          <w:color w:val="333333"/>
          <w:sz w:val="20"/>
          <w:szCs w:val="20"/>
        </w:rPr>
        <w:t xml:space="preserve">Open Access Series of Imaging Studies — Phase 1 (OASIS-1)</w:t>
      </w:r>
      <w:r>
        <w:rPr>
          <w:rFonts w:ascii="Arial" w:cs="Arial" w:eastAsia="Arial" w:hAnsi="Arial"/>
          <w:b w:val="false"/>
          <w:bCs w:val="false"/>
          <w:color w:val="333333"/>
          <w:sz w:val="20"/>
          <w:szCs w:val="20"/>
        </w:rPr>
        <w:t xml:space="preserve"> dataset (Marcus et al., 2007) is a cross-sectional collection of structural MRI data from 416 participants aged 18 to 96 years, freely available at </w:t>
      </w:r>
      <w:r>
        <w:rPr>
          <w:rFonts w:ascii="Arial" w:cs="Arial" w:eastAsia="Arial" w:hAnsi="Arial"/>
          <w:b w:val="false"/>
          <w:bCs w:val="false"/>
          <w:color w:val="333333"/>
          <w:sz w:val="20"/>
          <w:szCs w:val="20"/>
        </w:rPr>
        <w:t xml:space="preserve">oasis-brains.org</w:t>
      </w:r>
      <w:r>
        <w:rPr>
          <w:rFonts w:ascii="Arial" w:cs="Arial" w:eastAsia="Arial" w:hAnsi="Arial"/>
          <w:b w:val="false"/>
          <w:bCs w:val="false"/>
          <w:color w:val="333333"/>
          <w:sz w:val="20"/>
          <w:szCs w:val="20"/>
        </w:rPr>
        <w:t xml:space="preserve">. The cohort spans cognitively normal individuals (CDR = 0), those with very mild dementia (CDR = 0.5), and individuals with mild to moderate Alzheimer's disease (CDR = 1 or 2). All scans are T1-weighted, acquired using a 1.5T magnetisation-prepared rapid gradient-echo (MPRAGE) sequence at Washington University School of Medicine.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Source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oasis-brains.org (Marcus et al., 2007)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Subjects</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416 (aged 18–96; 100 with dementia)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Modality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T1-weighted MRI (1.5T MPRAGE)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Slices used</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Central 30 axial slices per subject (~12,480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Image size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128 × 128 pixels (resized, grayscale)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Normalisation</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Pixel intensities scaled to [0,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Augmentation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Random horizontal flip (p = 0.5)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Train / Val split</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85% / 15% random 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Licence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Public domain for non-commercial research</w:t>
            </w:r>
          </w:p>
        </w:tc>
      </w:tr>
    </w:tbl>
    <w:p>
      <w:pPr>
        <w:spacing w:after="180"/>
        <w:jc w:val="center"/>
      </w:pPr>
      <w:r>
        <w:rPr>
          <w:rFonts w:ascii="Arial" w:cs="Arial" w:eastAsia="Arial" w:hAnsi="Arial"/>
          <w:color w:val="888888"/>
          <w:sz w:val="18"/>
          <w:szCs w:val="18"/>
        </w:rPr>
        <w:t xml:space="preserve">Table 1. OASIS-1 dataset specification for this generative modelling task.</w:t>
      </w:r>
    </w:p>
    <w:p>
      <w:pPr>
        <w:spacing w:after="160" w:line="276"/>
        <w:jc w:val="both"/>
      </w:pPr>
      <w:r>
        <w:rPr>
          <w:rFonts w:ascii="Arial" w:cs="Arial" w:eastAsia="Arial" w:hAnsi="Arial"/>
          <w:b w:val="false"/>
          <w:bCs w:val="false"/>
          <w:color w:val="333333"/>
          <w:sz w:val="20"/>
          <w:szCs w:val="20"/>
        </w:rPr>
        <w:t xml:space="preserve">OASIS-1 is well-suited to this generative task for several reasons. First, the dataset is real, peer-reviewed, and publicly available — meeting all dataset requirements for this project. Second, the structural diversity across age groups and CDR scores provides a rich distribution of brain morphologies for the VAE to model. Third, the dataset has not been used in any prior project in this Nanodegree programme (P2: wine quality tabular data; P3: Iris species; P4: Fashion-MNIST clothing images), ensuring independence of the generative modelling experiment. Finally, the OASIS-1 citation (Marcus et al., 2007) is one of the most widely used neuroimaging datasets in the computational dementia literature, establishing strong precedent for its use in AI research.</w:t>
      </w:r>
    </w:p>
    <w:p>
      <w:pPr>
        <w:pStyle w:val="Heading2"/>
        <w:spacing w:before="220" w:after="100"/>
      </w:pPr>
      <w:r>
        <w:rPr>
          <w:rFonts w:ascii="Arial" w:cs="Arial" w:eastAsia="Arial" w:hAnsi="Arial"/>
          <w:b/>
          <w:bCs/>
          <w:color w:val="2E6DA4"/>
          <w:sz w:val="22"/>
          <w:szCs w:val="22"/>
        </w:rPr>
        <w:t xml:space="preserve">2.2 Preprocessing Pipeline</w:t>
      </w:r>
    </w:p>
    <w:p>
      <w:pPr>
        <w:spacing w:after="160" w:line="276"/>
        <w:jc w:val="both"/>
      </w:pPr>
      <w:r>
        <w:rPr>
          <w:rFonts w:ascii="Arial" w:cs="Arial" w:eastAsia="Arial" w:hAnsi="Arial"/>
          <w:b w:val="false"/>
          <w:bCs w:val="false"/>
          <w:color w:val="333333"/>
          <w:sz w:val="20"/>
          <w:szCs w:val="20"/>
        </w:rPr>
        <w:t xml:space="preserve">Raw OASIS NIfTI volumes are preprocessed as follows: (1) skull-stripped volumes registered to MNI152 standard space are loaded using nibabel; (2) the central 30 axial slices per subject are extracted to focus on the most diagnostically informative cross-sections; (3) each slice is resized to 128 × 128 pixels using bilinear interpolation; (4) pixel intensities are linearly normalised to [0, 1] by dividing by the maximum voxel intensity per slice; (5) random horizontal flipping (p = 0.5) is applied during training as a simple data augmentation strategy. This pipeline is implemented in the BrainMRIDataset class within the notebook.</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3. Model Design and Training Approach</w:t>
      </w:r>
    </w:p>
    <w:p>
      <w:pPr>
        <w:pStyle w:val="Heading2"/>
        <w:spacing w:before="220" w:after="100"/>
      </w:pPr>
      <w:r>
        <w:rPr>
          <w:rFonts w:ascii="Arial" w:cs="Arial" w:eastAsia="Arial" w:hAnsi="Arial"/>
          <w:b/>
          <w:bCs/>
          <w:color w:val="2E6DA4"/>
          <w:sz w:val="22"/>
          <w:szCs w:val="22"/>
        </w:rPr>
        <w:t xml:space="preserve">3.1 Architecture Selection</w:t>
      </w:r>
    </w:p>
    <w:p>
      <w:pPr>
        <w:spacing w:after="160" w:line="276"/>
        <w:jc w:val="both"/>
      </w:pPr>
      <w:r>
        <w:rPr>
          <w:rFonts w:ascii="Arial" w:cs="Arial" w:eastAsia="Arial" w:hAnsi="Arial"/>
          <w:b w:val="false"/>
          <w:bCs w:val="false"/>
          <w:color w:val="333333"/>
          <w:sz w:val="20"/>
          <w:szCs w:val="20"/>
        </w:rPr>
        <w:t xml:space="preserve">The Variational Autoencoder (Kingma and Welling, 2013) was selected as the generative architecture for this project. The VAE extends the classical autoencoder by treating the latent code as a probability distribution rather than a deterministic vector. Specifically, the encoder maps an input image x to the parameters (mean mu and log-variance log sigma squared) of a Gaussian distribution q(z|x), from which a latent code z is sampled. The decoder then maps z back to an image reconstruction. This probabilistic formulation enables the model to generate novel images by sampling z from the prior p(z) = N(0, I) at inference time.</w:t>
      </w:r>
    </w:p>
    <w:p>
      <w:pPr>
        <w:spacing w:after="160" w:line="276"/>
        <w:jc w:val="both"/>
      </w:pPr>
      <w:r>
        <w:rPr>
          <w:rFonts w:ascii="Arial" w:cs="Arial" w:eastAsia="Arial" w:hAnsi="Arial"/>
          <w:b w:val="false"/>
          <w:bCs w:val="false"/>
          <w:color w:val="333333"/>
          <w:sz w:val="20"/>
          <w:szCs w:val="20"/>
        </w:rPr>
        <w:t xml:space="preserve">Three candidate architectures were considered: a GAN (Goodfellow et al., 2014), a VAE (Kingma and Welling, 2013), and a Transformer-based model (Vaswani et al., 2017). The VAE was chosen for three principled reasons. First, VAEs optimise a single, mathematically well-defined objective — the Evidence Lower BOund (ELBO) — which is stable across training runs and does not require balancing two competing networks as in GAN training. Second, the regularised latent space of a VAE supports smooth interpolation and structured exploration of the data manifold, which is diagnostically valuable for neuroimaging data. Third, VAEs have demonstrated superior performance on small medical imaging datasets relative to GANs, which require large corpora for the discriminator to provide useful gradient signal (Frid-Adar et al., 2018).</w:t>
      </w:r>
    </w:p>
    <w:p>
      <w:pPr>
        <w:pStyle w:val="Heading2"/>
        <w:spacing w:before="220" w:after="100"/>
      </w:pPr>
      <w:r>
        <w:rPr>
          <w:rFonts w:ascii="Arial" w:cs="Arial" w:eastAsia="Arial" w:hAnsi="Arial"/>
          <w:b/>
          <w:bCs/>
          <w:color w:val="2E6DA4"/>
          <w:sz w:val="22"/>
          <w:szCs w:val="22"/>
        </w:rPr>
        <w:t xml:space="preserve">3.2 Architecture Specification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3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Design 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Input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 × 128 × 128 (grayscale MRI)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Standard neuroimaging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Encoder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4 × Conv2d (stride=2, kernel=4, padding=1)</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Strided conv for spatial downsampling; no pooling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Activation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LeakyReLU (alpha=0.2) + BatchNorm2d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Prevents dying ReLU; BatchNorm stabilises training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Latent heads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FC: 16384→128 (mu); FC: 16384→128 (log var)</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Separate linear projections for mean and variance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Latent dim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128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Captures full brain morphology complexity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Reparameterisation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z = mu + eps * exp(0.5 * log_var), eps~N(0,I)</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Enables gradient flow through stochastic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Decoder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FC: 128→16384; 4 × ConvTranspose2d (stride=2)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Mirror architecture for symmetric reconstruction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Output activation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Sigmoid</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Constrains output to [0,1] matching input normalisation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Total parameters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~17.5 million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Sufficient capacity for 128×128 brain morphology</w:t>
            </w:r>
          </w:p>
        </w:tc>
      </w:tr>
    </w:tbl>
    <w:p>
      <w:pPr>
        <w:spacing w:after="180"/>
        <w:jc w:val="center"/>
      </w:pPr>
      <w:r>
        <w:rPr>
          <w:rFonts w:ascii="Arial" w:cs="Arial" w:eastAsia="Arial" w:hAnsi="Arial"/>
          <w:color w:val="888888"/>
          <w:sz w:val="18"/>
          <w:szCs w:val="18"/>
        </w:rPr>
        <w:t xml:space="preserve">Table 2. CVAE architecture specification.</w:t>
      </w:r>
    </w:p>
    <w:p>
      <w:pPr>
        <w:pStyle w:val="Heading2"/>
        <w:spacing w:before="220" w:after="100"/>
      </w:pPr>
      <w:r>
        <w:rPr>
          <w:rFonts w:ascii="Arial" w:cs="Arial" w:eastAsia="Arial" w:hAnsi="Arial"/>
          <w:b/>
          <w:bCs/>
          <w:color w:val="2E6DA4"/>
          <w:sz w:val="22"/>
          <w:szCs w:val="22"/>
        </w:rPr>
        <w:t xml:space="preserve">3.3 Loss Function: Evidence Lower BOund (ELBO)</w:t>
      </w:r>
    </w:p>
    <w:p>
      <w:pPr>
        <w:spacing w:after="160" w:line="276"/>
        <w:jc w:val="both"/>
      </w:pPr>
      <w:r>
        <w:rPr>
          <w:rFonts w:ascii="Arial" w:cs="Arial" w:eastAsia="Arial" w:hAnsi="Arial"/>
          <w:b w:val="false"/>
          <w:bCs w:val="false"/>
          <w:color w:val="333333"/>
          <w:sz w:val="20"/>
          <w:szCs w:val="20"/>
        </w:rPr>
        <w:t xml:space="preserve">The VAE training objective maximises the ELBO with respect to both model parameters theta and variational parameters phi (Kingma and Welling, 2013). The ELBO decomposes into two interpretable terms: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8"/>
              <w:left w:val="single" w:color="2E6DA4" w:sz="8"/>
              <w:bottom w:val="single" w:color="2E6DA4" w:sz="8"/>
              <w:right w:val="single" w:color="2E6DA4" w:sz="8"/>
            </w:tcBorders>
            <w:shd w:fill="D6E8F7" w:val="clear"/>
            <w:tcMar>
              <w:top w:type="dxa" w:w="160"/>
              <w:left w:type="dxa" w:w="200"/>
              <w:bottom w:type="dxa" w:w="160"/>
              <w:right w:type="dxa" w:w="200"/>
            </w:tcMar>
          </w:tcPr>
          <w:p>
            <w:pPr>
              <w:jc w:val="center"/>
            </w:pPr>
            <w:r>
              <w:rPr>
                <w:rFonts w:ascii="Courier New" w:cs="Courier New" w:eastAsia="Courier New" w:hAnsi="Courier New"/>
                <w:b/>
                <w:bCs/>
                <w:color w:val="1A3A5C"/>
                <w:sz w:val="22"/>
                <w:szCs w:val="22"/>
              </w:rPr>
              <w:t xml:space="preserve">ELBO  =  E[ log p(x|z) ]  −  D_KL[ q(z|x) || p(z) ]</w:t>
            </w:r>
          </w:p>
        </w:tc>
      </w:tr>
    </w:tbl>
    <w:p>
      <w:pPr>
        <w:spacing w:after="80"/>
      </w:pPr>
      <w:r>
        <w:t xml:space="preserve"/>
      </w:r>
    </w:p>
    <w:p>
      <w:pPr>
        <w:spacing w:after="160" w:line="276"/>
        <w:jc w:val="both"/>
      </w:pPr>
      <w:r>
        <w:rPr>
          <w:rFonts w:ascii="Arial" w:cs="Arial" w:eastAsia="Arial" w:hAnsi="Arial"/>
          <w:b w:val="false"/>
          <w:bCs w:val="false"/>
          <w:color w:val="333333"/>
          <w:sz w:val="20"/>
          <w:szCs w:val="20"/>
        </w:rPr>
        <w:t xml:space="preserve">The </w:t>
      </w:r>
      <w:r>
        <w:rPr>
          <w:rFonts w:ascii="Arial" w:cs="Arial" w:eastAsia="Arial" w:hAnsi="Arial"/>
          <w:b/>
          <w:bCs/>
          <w:color w:val="333333"/>
          <w:sz w:val="20"/>
          <w:szCs w:val="20"/>
        </w:rPr>
        <w:t xml:space="preserve">reconstruction term</w:t>
      </w:r>
      <w:r>
        <w:rPr>
          <w:rFonts w:ascii="Arial" w:cs="Arial" w:eastAsia="Arial" w:hAnsi="Arial"/>
          <w:b w:val="false"/>
          <w:bCs w:val="false"/>
          <w:color w:val="333333"/>
          <w:sz w:val="20"/>
          <w:szCs w:val="20"/>
        </w:rPr>
        <w:t xml:space="preserve"> E[log p(x|z)] is implemented as the sum of binary cross-entropy (BCE) over all pixels, measuring how faithfully the decoder reconstructs the input from the latent sample. The </w:t>
      </w:r>
      <w:r>
        <w:rPr>
          <w:rFonts w:ascii="Arial" w:cs="Arial" w:eastAsia="Arial" w:hAnsi="Arial"/>
          <w:b/>
          <w:bCs/>
          <w:color w:val="333333"/>
          <w:sz w:val="20"/>
          <w:szCs w:val="20"/>
        </w:rPr>
        <w:t xml:space="preserve">KL divergence term</w:t>
      </w:r>
      <w:r>
        <w:rPr>
          <w:rFonts w:ascii="Arial" w:cs="Arial" w:eastAsia="Arial" w:hAnsi="Arial"/>
          <w:b w:val="false"/>
          <w:bCs w:val="false"/>
          <w:color w:val="333333"/>
          <w:sz w:val="20"/>
          <w:szCs w:val="20"/>
        </w:rPr>
        <w:t xml:space="preserve"> D_KL[q(z|x) || p(z)] regularises the posterior towards the standard Gaussian prior N(0, I), admitting a closed-form solution: -0.5 * sum(1 + log_var - mu^2 - exp(log_var)). Gradient clipping (max norm = 1.0) is applied per batch to prevent exploding gradients. The training setup uses the Adam optimiser (Kingma and Ba, 2015) with learning rate 1e-3 and a ReduceLROnPlateau scheduler (patience = 5 epochs, reduction factor = 0.5).</w:t>
      </w:r>
    </w:p>
    <w:p>
      <w:pPr>
        <w:pStyle w:val="Heading2"/>
        <w:spacing w:before="220" w:after="100"/>
      </w:pPr>
      <w:r>
        <w:rPr>
          <w:rFonts w:ascii="Arial" w:cs="Arial" w:eastAsia="Arial" w:hAnsi="Arial"/>
          <w:b/>
          <w:bCs/>
          <w:color w:val="2E6DA4"/>
          <w:sz w:val="22"/>
          <w:szCs w:val="22"/>
        </w:rPr>
        <w:t xml:space="preserve">3.4 Training Configuration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Hyperparameter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Epochs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40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Sufficient for ELBO convergence on medium-scale dataset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Batch 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32</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Balances gradient quality and memory efficiency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Optimiser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Adam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Adaptive learning rates; standard for VAEs (Kingma &amp; Ba, 2015)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Learning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1e-3</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Default Adam lr; reduced on plateau via scheduler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Beta (KL 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Standard VAE; beta &gt; 1 would over-regularise the posterior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Gradient clipping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1.0</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Prevents exploding gradients in deep conv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Weight init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Kaiming (default)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333333"/>
                <w:sz w:val="18"/>
                <w:szCs w:val="18"/>
              </w:rPr>
              <w:t xml:space="preserve">Appropriate for LeakyReLU activations (He et al., 2015)</w:t>
            </w:r>
          </w:p>
        </w:tc>
      </w:tr>
    </w:tbl>
    <w:p>
      <w:pPr>
        <w:spacing w:after="180"/>
        <w:jc w:val="center"/>
      </w:pPr>
      <w:r>
        <w:rPr>
          <w:rFonts w:ascii="Arial" w:cs="Arial" w:eastAsia="Arial" w:hAnsi="Arial"/>
          <w:color w:val="888888"/>
          <w:sz w:val="18"/>
          <w:szCs w:val="18"/>
        </w:rPr>
        <w:t xml:space="preserve">Table 3. Training configuration and hyperparameter justification.</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4. Output Evaluation and Interpretation</w:t>
      </w:r>
    </w:p>
    <w:p>
      <w:pPr>
        <w:pStyle w:val="Heading2"/>
        <w:spacing w:before="220" w:after="100"/>
      </w:pPr>
      <w:r>
        <w:rPr>
          <w:rFonts w:ascii="Arial" w:cs="Arial" w:eastAsia="Arial" w:hAnsi="Arial"/>
          <w:b/>
          <w:bCs/>
          <w:color w:val="2E6DA4"/>
          <w:sz w:val="22"/>
          <w:szCs w:val="22"/>
        </w:rPr>
        <w:t xml:space="preserve">4.1 Evaluation Methodology</w:t>
      </w:r>
    </w:p>
    <w:p>
      <w:pPr>
        <w:spacing w:after="160" w:line="276"/>
        <w:jc w:val="both"/>
      </w:pPr>
      <w:r>
        <w:rPr>
          <w:rFonts w:ascii="Arial" w:cs="Arial" w:eastAsia="Arial" w:hAnsi="Arial"/>
          <w:b w:val="false"/>
          <w:bCs w:val="false"/>
          <w:color w:val="333333"/>
          <w:sz w:val="20"/>
          <w:szCs w:val="20"/>
        </w:rPr>
        <w:t xml:space="preserve">Evaluating generative models for medical images requires multiple complementary strategies, as no single metric captures all relevant aspects of generation quality (Theis et al., 2016). This project applies four evaluation methods: (1) visual inspection of random samples from the prior N(0, I); (2) reconstruction fidelity measured via pixel-level MSE and visual residual maps; (3) latent space interpolation to assess manifold continuity; and (4) PCA projection of latent vectors to inspect the geometry of the learned representation.</w:t>
      </w:r>
    </w:p>
    <w:p>
      <w:pPr>
        <w:pStyle w:val="Heading2"/>
        <w:spacing w:before="220" w:after="100"/>
      </w:pPr>
      <w:r>
        <w:rPr>
          <w:rFonts w:ascii="Arial" w:cs="Arial" w:eastAsia="Arial" w:hAnsi="Arial"/>
          <w:b/>
          <w:bCs/>
          <w:color w:val="2E6DA4"/>
          <w:sz w:val="22"/>
          <w:szCs w:val="22"/>
        </w:rPr>
        <w:t xml:space="preserve">4.2 Generated Sample Quality</w:t>
      </w:r>
    </w:p>
    <w:p>
      <w:pPr>
        <w:spacing w:after="160" w:line="276"/>
        <w:jc w:val="both"/>
      </w:pPr>
      <w:r>
        <w:rPr>
          <w:rFonts w:ascii="Arial" w:cs="Arial" w:eastAsia="Arial" w:hAnsi="Arial"/>
          <w:b w:val="false"/>
          <w:bCs w:val="false"/>
          <w:color w:val="333333"/>
          <w:sz w:val="20"/>
          <w:szCs w:val="20"/>
        </w:rPr>
        <w:t xml:space="preserve">Samples generated by drawing z ~ N(0, I) and decoding through the trained decoder exhibit coherent brain-like morphology. Specifically, generated images display: (i) a clear oval skull boundary consistent with the axial MRI slice geometry; (ii) a contrast gradient between the bright white-matter-equivalent central region and darker grey-matter-equivalent periphery; (iii) bilateral symmetry consistent with the left-right symmetry of human brain anatomy; and (iv) dark ventricle-like regions in the central area of several samples. These structural characteristics confirm that the decoder has learned to map the latent distribution onto anatomically plausible brain morphologies rather than random noise patterns.</w:t>
      </w:r>
    </w:p>
    <w:p>
      <w:pPr>
        <w:spacing w:after="160" w:line="276"/>
        <w:jc w:val="both"/>
      </w:pPr>
      <w:r>
        <w:rPr>
          <w:rFonts w:ascii="Arial" w:cs="Arial" w:eastAsia="Arial" w:hAnsi="Arial"/>
          <w:b w:val="false"/>
          <w:bCs w:val="false"/>
          <w:color w:val="333333"/>
          <w:sz w:val="20"/>
          <w:szCs w:val="20"/>
        </w:rPr>
        <w:t xml:space="preserve">The diversity of generated samples reflects the stochasticity of prior sampling. Across 25 sampled images, variability is observed in skull size, hemisphere proportion, and ventricle prominence — consistent with the known demographic range of the OASIS-1 cohort (18–96 years, healthy to moderate dementia). This diversity demonstrates that the model has not simply memorised training examples, a form of overfitting that VAE regularisation is specifically designed to prevent.</w:t>
      </w:r>
    </w:p>
    <w:p>
      <w:pPr>
        <w:pStyle w:val="Heading2"/>
        <w:spacing w:before="220" w:after="100"/>
      </w:pPr>
      <w:r>
        <w:rPr>
          <w:rFonts w:ascii="Arial" w:cs="Arial" w:eastAsia="Arial" w:hAnsi="Arial"/>
          <w:b/>
          <w:bCs/>
          <w:color w:val="2E6DA4"/>
          <w:sz w:val="22"/>
          <w:szCs w:val="22"/>
        </w:rPr>
        <w:t xml:space="preserve">4.3 Reconstruction Fidelity</w:t>
      </w:r>
    </w:p>
    <w:p>
      <w:pPr>
        <w:spacing w:after="160" w:line="276"/>
        <w:jc w:val="both"/>
      </w:pPr>
      <w:r>
        <w:rPr>
          <w:rFonts w:ascii="Arial" w:cs="Arial" w:eastAsia="Arial" w:hAnsi="Arial"/>
          <w:b w:val="false"/>
          <w:bCs w:val="false"/>
          <w:color w:val="333333"/>
          <w:sz w:val="20"/>
          <w:szCs w:val="20"/>
        </w:rPr>
        <w:t xml:space="preserve">Reconstruction quality was assessed by encoding validation images and comparing the decoded output to the original. Mean Squared Error (MSE) across the validation set serves as a quantitative proxy for reconstruction fidelity. Residual maps (|original - reconstruction|) show that reconstruction error is concentrated at fine structural boundaries — particularly sulcal folds and tissue interfaces — while coarse anatomy (skull, hemisphere boundaries, ventricles) is well preserved. This pattern is consistent with the known tendency of VAEs using pixel-level BCE loss to over-smooth high-frequency details (Larsen et al., 2016).</w:t>
      </w:r>
    </w:p>
    <w:p>
      <w:pPr>
        <w:pStyle w:val="Heading2"/>
        <w:spacing w:before="220" w:after="100"/>
      </w:pPr>
      <w:r>
        <w:rPr>
          <w:rFonts w:ascii="Arial" w:cs="Arial" w:eastAsia="Arial" w:hAnsi="Arial"/>
          <w:b/>
          <w:bCs/>
          <w:color w:val="2E6DA4"/>
          <w:sz w:val="22"/>
          <w:szCs w:val="22"/>
        </w:rPr>
        <w:t xml:space="preserve">4.4 Latent Space Analysis</w:t>
      </w:r>
    </w:p>
    <w:p>
      <w:pPr>
        <w:spacing w:after="160" w:line="276"/>
        <w:jc w:val="both"/>
      </w:pPr>
      <w:r>
        <w:rPr>
          <w:rFonts w:ascii="Arial" w:cs="Arial" w:eastAsia="Arial" w:hAnsi="Arial"/>
          <w:b w:val="false"/>
          <w:bCs w:val="false"/>
          <w:color w:val="333333"/>
          <w:sz w:val="20"/>
          <w:szCs w:val="20"/>
        </w:rPr>
        <w:t xml:space="preserve">Interpolation between two encoded validation images produces a smooth, continuous sequence of brain morphologies with no discontinuous jumps or artefactual frames. This is a key diagnostic for VAE quality: smoothness indicates that the encoder has learned a connected, structured manifold rather than a fragmented representation. PCA projection of the 128-dimensional latent vectors onto two principal components shows a reasonably distributed cloud without severe clustering or posterior collapse, confirming that the KL regularisation is preventing the posterior from degenerating to a collection of dirac delta distributions.</w:t>
      </w:r>
    </w:p>
    <w:p>
      <w:pPr>
        <w:pStyle w:val="Heading2"/>
        <w:spacing w:before="220" w:after="100"/>
      </w:pPr>
      <w:r>
        <w:rPr>
          <w:rFonts w:ascii="Arial" w:cs="Arial" w:eastAsia="Arial" w:hAnsi="Arial"/>
          <w:b/>
          <w:bCs/>
          <w:color w:val="2E6DA4"/>
          <w:sz w:val="22"/>
          <w:szCs w:val="22"/>
        </w:rPr>
        <w:t xml:space="preserve">4.5 Failure Cases</w:t>
      </w:r>
    </w:p>
    <w:p>
      <w:pPr>
        <w:spacing w:after="160" w:line="276"/>
        <w:jc w:val="both"/>
      </w:pPr>
      <w:r>
        <w:rPr>
          <w:rFonts w:ascii="Arial" w:cs="Arial" w:eastAsia="Arial" w:hAnsi="Arial"/>
          <w:b w:val="false"/>
          <w:bCs w:val="false"/>
          <w:color w:val="333333"/>
          <w:sz w:val="20"/>
          <w:szCs w:val="20"/>
        </w:rPr>
        <w:t xml:space="preserve">Two categories of failure are observed. First, </w:t>
      </w:r>
      <w:r>
        <w:rPr>
          <w:rFonts w:ascii="Arial" w:cs="Arial" w:eastAsia="Arial" w:hAnsi="Arial"/>
          <w:b/>
          <w:bCs/>
          <w:color w:val="333333"/>
          <w:sz w:val="20"/>
          <w:szCs w:val="20"/>
        </w:rPr>
        <w:t xml:space="preserve">detail blurring</w:t>
      </w:r>
      <w:r>
        <w:rPr>
          <w:rFonts w:ascii="Arial" w:cs="Arial" w:eastAsia="Arial" w:hAnsi="Arial"/>
          <w:b w:val="false"/>
          <w:bCs w:val="false"/>
          <w:color w:val="333333"/>
          <w:sz w:val="20"/>
          <w:szCs w:val="20"/>
        </w:rPr>
        <w:t xml:space="preserve">: fine anatomical structures (sulci, gyri, cortical folds) are poorly rendered in both reconstructions and generated samples. This is an inherent limitation of BCE pixel-level loss, which optimises the average pixel value rather than perceptual sharpness. Perceptual losses (Johnson et al., 2016) or a VAE-GAN hybrid (Larsen et al., 2016) would address this. Second, </w:t>
      </w:r>
      <w:r>
        <w:rPr>
          <w:rFonts w:ascii="Arial" w:cs="Arial" w:eastAsia="Arial" w:hAnsi="Arial"/>
          <w:b/>
          <w:bCs/>
          <w:color w:val="333333"/>
          <w:sz w:val="20"/>
          <w:szCs w:val="20"/>
        </w:rPr>
        <w:t xml:space="preserve">checkerboard artefacts</w:t>
      </w:r>
      <w:r>
        <w:rPr>
          <w:rFonts w:ascii="Arial" w:cs="Arial" w:eastAsia="Arial" w:hAnsi="Arial"/>
          <w:b w:val="false"/>
          <w:bCs w:val="false"/>
          <w:color w:val="333333"/>
          <w:sz w:val="20"/>
          <w:szCs w:val="20"/>
        </w:rPr>
        <w:t xml:space="preserve">: some generated images display faint grid-like patterns originating from transposed convolution upsampling. Replacing ConvTranspose2d layers with bilinear upsampling followed by standard convolution (Odena et al., 2016) would eliminate this artefact.</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5. Ethical Considerations and Responsible Use</w:t>
      </w:r>
    </w:p>
    <w:p>
      <w:pPr>
        <w:pStyle w:val="Heading2"/>
        <w:spacing w:before="220" w:after="100"/>
      </w:pPr>
      <w:r>
        <w:rPr>
          <w:rFonts w:ascii="Arial" w:cs="Arial" w:eastAsia="Arial" w:hAnsi="Arial"/>
          <w:b/>
          <w:bCs/>
          <w:color w:val="2E6DA4"/>
          <w:sz w:val="22"/>
          <w:szCs w:val="22"/>
        </w:rPr>
        <w:t xml:space="preserve">5.1 Ethical Context: Synthetic Medical Image Generation</w:t>
      </w:r>
    </w:p>
    <w:p>
      <w:pPr>
        <w:spacing w:after="160" w:line="276"/>
        <w:jc w:val="both"/>
      </w:pPr>
      <w:r>
        <w:rPr>
          <w:rFonts w:ascii="Arial" w:cs="Arial" w:eastAsia="Arial" w:hAnsi="Arial"/>
          <w:b w:val="false"/>
          <w:bCs w:val="false"/>
          <w:color w:val="333333"/>
          <w:sz w:val="20"/>
          <w:szCs w:val="20"/>
        </w:rPr>
        <w:t xml:space="preserve">Generative models applied to medical imaging introduce a distinct ethical landscape that extends beyond standard machine learning concerns. Three primary ethical dimensions are examined here, each tied directly to the model, data, and outputs produced in this project.</w:t>
      </w:r>
    </w:p>
    <w:p>
      <w:pPr>
        <w:pStyle w:val="Heading2"/>
        <w:spacing w:before="220" w:after="100"/>
      </w:pPr>
      <w:r>
        <w:rPr>
          <w:rFonts w:ascii="Arial" w:cs="Arial" w:eastAsia="Arial" w:hAnsi="Arial"/>
          <w:b/>
          <w:bCs/>
          <w:color w:val="2E6DA4"/>
          <w:sz w:val="22"/>
          <w:szCs w:val="22"/>
        </w:rPr>
        <w:t xml:space="preserve">5.2 Bias and Representational Harm</w:t>
      </w:r>
    </w:p>
    <w:p>
      <w:pPr>
        <w:spacing w:after="160" w:line="276"/>
        <w:jc w:val="both"/>
      </w:pPr>
      <w:r>
        <w:rPr>
          <w:rFonts w:ascii="Arial" w:cs="Arial" w:eastAsia="Arial" w:hAnsi="Arial"/>
          <w:b w:val="false"/>
          <w:bCs w:val="false"/>
          <w:color w:val="333333"/>
          <w:sz w:val="20"/>
          <w:szCs w:val="20"/>
        </w:rPr>
        <w:t xml:space="preserve">The OASIS-1 dataset has a demographic composition that is not globally representative: the majority of participants were recruited from the St. Louis metropolitan area, primarily English-speaking, predominantly White, and with educational attainment levels above the general population. This selection bias is reflected in the learned latent distribution of the trained VAE: the model implicitly encodes a brain morphology prior skewed towards this demographic. Synthetic images generated by the model will therefore exhibit morphological characteristics typical of this population, potentially underperforming when used to augment data for diverse global populations (Obermeyer et al., 2019). This is a concrete, implementation-specific risk: a diagnostic AI system trained on OASIS-augmented data may generalise poorly to, for example, East Asian, Sub-Saharan African, or elderly female populations with distinct brain morphological distributions.</w:t>
      </w:r>
    </w:p>
    <w:p>
      <w:pPr>
        <w:pStyle w:val="Heading2"/>
        <w:spacing w:before="220" w:after="100"/>
      </w:pPr>
      <w:r>
        <w:rPr>
          <w:rFonts w:ascii="Arial" w:cs="Arial" w:eastAsia="Arial" w:hAnsi="Arial"/>
          <w:b/>
          <w:bCs/>
          <w:color w:val="2E6DA4"/>
          <w:sz w:val="22"/>
          <w:szCs w:val="22"/>
        </w:rPr>
        <w:t xml:space="preserve">5.3 Misuse: Diagnostic Deception and Fabricated Evidence</w:t>
      </w:r>
    </w:p>
    <w:p>
      <w:pPr>
        <w:spacing w:after="160" w:line="276"/>
        <w:jc w:val="both"/>
      </w:pPr>
      <w:r>
        <w:rPr>
          <w:rFonts w:ascii="Arial" w:cs="Arial" w:eastAsia="Arial" w:hAnsi="Arial"/>
          <w:b w:val="false"/>
          <w:bCs w:val="false"/>
          <w:color w:val="333333"/>
          <w:sz w:val="20"/>
          <w:szCs w:val="20"/>
        </w:rPr>
        <w:t xml:space="preserve">The trained VAE is capable of producing synthetic brain MRI images that are visually plausible to non-expert observers. This capability creates a misuse risk: generated images could, in principle, be presented as genuine clinical scans to deceive radiologists, insurance systems, or research peer-reviewers. The clinical stakes are particularly high in neuroimaging, where diagnosis of Alzheimer's disease depends on biomarker evidence including MRI-based structural measures (Jack et al., 2018). Responsible deployment of any synthetic MRI generation system must include watermarking or provenance tracking for generated images, strict access controls, and clear communication to downstream users that images are synthetic. In the context of this project, all generated outputs are clearly labelled as model outputs and are used exclusively for academic evaluation.</w:t>
      </w:r>
    </w:p>
    <w:p>
      <w:pPr>
        <w:pStyle w:val="Heading2"/>
        <w:spacing w:before="220" w:after="100"/>
      </w:pPr>
      <w:r>
        <w:rPr>
          <w:rFonts w:ascii="Arial" w:cs="Arial" w:eastAsia="Arial" w:hAnsi="Arial"/>
          <w:b/>
          <w:bCs/>
          <w:color w:val="2E6DA4"/>
          <w:sz w:val="22"/>
          <w:szCs w:val="22"/>
        </w:rPr>
        <w:t xml:space="preserve">5.4 Creative Ownership and Data Privacy</w:t>
      </w:r>
    </w:p>
    <w:p>
      <w:pPr>
        <w:spacing w:after="160" w:line="276"/>
        <w:jc w:val="both"/>
      </w:pPr>
      <w:r>
        <w:rPr>
          <w:rFonts w:ascii="Arial" w:cs="Arial" w:eastAsia="Arial" w:hAnsi="Arial"/>
          <w:b w:val="false"/>
          <w:bCs w:val="false"/>
          <w:color w:val="333333"/>
          <w:sz w:val="20"/>
          <w:szCs w:val="20"/>
        </w:rPr>
        <w:t xml:space="preserve">Although brain MRI images are not "creative works" in the copyright sense, they carry strong personal health information. OASIS-1 participants consented to research use of their scans under an institutional review board protocol; however, the consent documentation predates modern generative AI and likely did not contemplate the training of deep generative models capable of producing morphologically similar images. This raises a question about the limits of informed consent in the age of generative AI (Char et al., 2018): if a model learns to reproduce the statistical distribution of individual brain morphologies, to what extent does it infringe on the privacy of the original participants? Current best practices recommend conducting membership inference attacks (Shokri et al., 2017) to verify that generated images do not constitute near-memorisations of training examples — a test not performed here due to scope constraints but recommended for any production deployment.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503A" w:sz="8"/>
              <w:left w:val="single" w:color="E8503A" w:sz="8"/>
              <w:bottom w:val="single" w:color="E8503A" w:sz="8"/>
              <w:right w:val="single" w:color="E8503A" w:sz="8"/>
            </w:tcBorders>
            <w:shd w:fill="FFF3E0" w:val="clear"/>
            <w:tcMar>
              <w:top w:type="dxa" w:w="140"/>
              <w:left w:type="dxa" w:w="180"/>
              <w:bottom w:type="dxa" w:w="140"/>
              <w:right w:type="dxa" w:w="180"/>
            </w:tcMar>
          </w:tcPr>
          <w:p>
            <w:pPr>
              <w:jc w:val="both"/>
            </w:pPr>
            <w:r>
              <w:rPr>
                <w:rFonts w:ascii="Arial" w:cs="Arial" w:eastAsia="Arial" w:hAnsi="Arial"/>
                <w:color w:val="333333"/>
                <w:sz w:val="19"/>
                <w:szCs w:val="19"/>
              </w:rPr>
              <w:t xml:space="preserve">Responsible Use Summary: This model and its outputs are intended exclusively for academic research and education. Generated synthetic MRI images must not be used as clinical evidence, submitted as real patient data, or deployed in any diagnostic pipeline without rigorous validation across demographically diverse cohorts and explicit regulatory approval under applicable medical device frameworks (e.g., EU MDR, FDA 510(k)).</w:t>
            </w:r>
          </w:p>
        </w:tc>
      </w:tr>
    </w:tbl>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6. Limitations and Future Improvements</w:t>
      </w:r>
    </w:p>
    <w:p>
      <w:pPr>
        <w:pStyle w:val="Heading2"/>
        <w:spacing w:before="220" w:after="100"/>
      </w:pPr>
      <w:r>
        <w:rPr>
          <w:rFonts w:ascii="Arial" w:cs="Arial" w:eastAsia="Arial" w:hAnsi="Arial"/>
          <w:b/>
          <w:bCs/>
          <w:color w:val="2E6DA4"/>
          <w:sz w:val="22"/>
          <w:szCs w:val="22"/>
        </w:rPr>
        <w:t xml:space="preserve">6.1 Current Limitations</w:t>
      </w:r>
    </w:p>
    <w:p>
      <w:pPr>
        <w:spacing w:after="160" w:line="276"/>
        <w:jc w:val="both"/>
      </w:pPr>
      <w:r>
        <w:rPr>
          <w:rFonts w:ascii="Arial" w:cs="Arial" w:eastAsia="Arial" w:hAnsi="Arial"/>
          <w:b/>
          <w:bCs/>
          <w:color w:val="333333"/>
          <w:sz w:val="20"/>
          <w:szCs w:val="20"/>
        </w:rPr>
        <w:t xml:space="preserve">Detail blurring: </w:t>
      </w:r>
      <w:r>
        <w:rPr>
          <w:rFonts w:ascii="Arial" w:cs="Arial" w:eastAsia="Arial" w:hAnsi="Arial"/>
          <w:b w:val="false"/>
          <w:bCs w:val="false"/>
          <w:color w:val="333333"/>
          <w:sz w:val="20"/>
          <w:szCs w:val="20"/>
        </w:rPr>
        <w:t xml:space="preserve">BCE pixel-level loss optimises average intensity per pixel, causing over-smoothing of fine anatomical structures. This is an inherent limitation of standard VAEs (Larsen et al., 2016).</w:t>
      </w:r>
    </w:p>
    <w:p>
      <w:pPr>
        <w:spacing w:after="160" w:line="276"/>
        <w:jc w:val="both"/>
      </w:pPr>
      <w:r>
        <w:rPr>
          <w:rFonts w:ascii="Arial" w:cs="Arial" w:eastAsia="Arial" w:hAnsi="Arial"/>
          <w:b/>
          <w:bCs/>
          <w:color w:val="333333"/>
          <w:sz w:val="20"/>
          <w:szCs w:val="20"/>
        </w:rPr>
        <w:t xml:space="preserve">Unconditional generation: </w:t>
      </w:r>
      <w:r>
        <w:rPr>
          <w:rFonts w:ascii="Arial" w:cs="Arial" w:eastAsia="Arial" w:hAnsi="Arial"/>
          <w:b w:val="false"/>
          <w:bCs w:val="false"/>
          <w:color w:val="333333"/>
          <w:sz w:val="20"/>
          <w:szCs w:val="20"/>
        </w:rPr>
        <w:t xml:space="preserve">The current model generates brain images without conditioning on clinical variables (age, sex, CDR score). This limits clinical utility: a researcher cannot request a sample from the MCI morphology distribution — only a random sample from the full population prior.</w:t>
      </w:r>
    </w:p>
    <w:p>
      <w:pPr>
        <w:spacing w:after="160" w:line="276"/>
        <w:jc w:val="both"/>
      </w:pPr>
      <w:r>
        <w:rPr>
          <w:rFonts w:ascii="Arial" w:cs="Arial" w:eastAsia="Arial" w:hAnsi="Arial"/>
          <w:b/>
          <w:bCs/>
          <w:color w:val="333333"/>
          <w:sz w:val="20"/>
          <w:szCs w:val="20"/>
        </w:rPr>
        <w:t xml:space="preserve">Dataset scope: </w:t>
      </w:r>
      <w:r>
        <w:rPr>
          <w:rFonts w:ascii="Arial" w:cs="Arial" w:eastAsia="Arial" w:hAnsi="Arial"/>
          <w:b w:val="false"/>
          <w:bCs w:val="false"/>
          <w:color w:val="333333"/>
          <w:sz w:val="20"/>
          <w:szCs w:val="20"/>
        </w:rPr>
        <w:t xml:space="preserve">OASIS-1 contains 416 subjects, which is small by deep learning standards. The model would benefit substantially from training on larger, more diverse neuroimaging cohorts (e.g., ADNI, UK Biobank).</w:t>
      </w:r>
    </w:p>
    <w:p>
      <w:pPr>
        <w:spacing w:after="160" w:line="276"/>
        <w:jc w:val="both"/>
      </w:pPr>
      <w:r>
        <w:rPr>
          <w:rFonts w:ascii="Arial" w:cs="Arial" w:eastAsia="Arial" w:hAnsi="Arial"/>
          <w:b/>
          <w:bCs/>
          <w:color w:val="333333"/>
          <w:sz w:val="20"/>
          <w:szCs w:val="20"/>
        </w:rPr>
        <w:t xml:space="preserve">Resolution constraint: </w:t>
      </w:r>
      <w:r>
        <w:rPr>
          <w:rFonts w:ascii="Arial" w:cs="Arial" w:eastAsia="Arial" w:hAnsi="Arial"/>
          <w:b w:val="false"/>
          <w:bCs w:val="false"/>
          <w:color w:val="333333"/>
          <w:sz w:val="20"/>
          <w:szCs w:val="20"/>
        </w:rPr>
        <w:t xml:space="preserve">Operating at 128 × 128 pixels means fine sulcal and gyral detail is lost even in the input images. Clinical-grade MRI generation would require at least 256 × 256, preferably 3D volumetric generation at 1mm isotropic resolution.</w:t>
      </w:r>
    </w:p>
    <w:p>
      <w:pPr>
        <w:spacing w:after="160" w:line="276"/>
        <w:jc w:val="both"/>
      </w:pPr>
      <w:r>
        <w:rPr>
          <w:rFonts w:ascii="Arial" w:cs="Arial" w:eastAsia="Arial" w:hAnsi="Arial"/>
          <w:b/>
          <w:bCs/>
          <w:color w:val="333333"/>
          <w:sz w:val="20"/>
          <w:szCs w:val="20"/>
        </w:rPr>
        <w:t xml:space="preserve">Evaluation metrics: </w:t>
      </w:r>
      <w:r>
        <w:rPr>
          <w:rFonts w:ascii="Arial" w:cs="Arial" w:eastAsia="Arial" w:hAnsi="Arial"/>
          <w:b w:val="false"/>
          <w:bCs w:val="false"/>
          <w:color w:val="333333"/>
          <w:sz w:val="20"/>
          <w:szCs w:val="20"/>
        </w:rPr>
        <w:t xml:space="preserve">Only qualitative and MSE-based evaluation is applied. Frechet Inception Distance (FID; Heusel et al., 2017) and Structural Similarity Index (SSIM; Wang et al., 2004) would provide more comprehensive generation quality benchmarks.</w:t>
      </w:r>
    </w:p>
    <w:p>
      <w:pPr>
        <w:pStyle w:val="Heading2"/>
        <w:spacing w:before="220" w:after="100"/>
      </w:pPr>
      <w:r>
        <w:rPr>
          <w:rFonts w:ascii="Arial" w:cs="Arial" w:eastAsia="Arial" w:hAnsi="Arial"/>
          <w:b/>
          <w:bCs/>
          <w:color w:val="2E6DA4"/>
          <w:sz w:val="22"/>
          <w:szCs w:val="22"/>
        </w:rPr>
        <w:t xml:space="preserve">6.2 Future Improvements</w:t>
      </w:r>
    </w:p>
    <w:p>
      <w:pPr>
        <w:spacing w:after="160" w:line="276"/>
        <w:jc w:val="both"/>
      </w:pPr>
      <w:r>
        <w:rPr>
          <w:rFonts w:ascii="Arial" w:cs="Arial" w:eastAsia="Arial" w:hAnsi="Arial"/>
          <w:b/>
          <w:bCs/>
          <w:color w:val="333333"/>
          <w:sz w:val="20"/>
          <w:szCs w:val="20"/>
        </w:rPr>
        <w:t xml:space="preserve">Conditional VAE (CVAE): </w:t>
      </w:r>
      <w:r>
        <w:rPr>
          <w:rFonts w:ascii="Arial" w:cs="Arial" w:eastAsia="Arial" w:hAnsi="Arial"/>
          <w:b w:val="false"/>
          <w:bCs w:val="false"/>
          <w:color w:val="333333"/>
          <w:sz w:val="20"/>
          <w:szCs w:val="20"/>
        </w:rPr>
        <w:t xml:space="preserve">Condition the decoder on clinical metadata (CDR score, age, sex) to enable targeted synthetic data generation. This would directly support data augmentation for dementia stage classification, addressing the class imbalance problem in clinical AI pipelines.</w:t>
      </w:r>
    </w:p>
    <w:p>
      <w:pPr>
        <w:spacing w:after="160" w:line="276"/>
        <w:jc w:val="both"/>
      </w:pPr>
      <w:r>
        <w:rPr>
          <w:rFonts w:ascii="Arial" w:cs="Arial" w:eastAsia="Arial" w:hAnsi="Arial"/>
          <w:b/>
          <w:bCs/>
          <w:color w:val="333333"/>
          <w:sz w:val="20"/>
          <w:szCs w:val="20"/>
        </w:rPr>
        <w:t xml:space="preserve">Perceptual loss: </w:t>
      </w:r>
      <w:r>
        <w:rPr>
          <w:rFonts w:ascii="Arial" w:cs="Arial" w:eastAsia="Arial" w:hAnsi="Arial"/>
          <w:b w:val="false"/>
          <w:bCs w:val="false"/>
          <w:color w:val="333333"/>
          <w:sz w:val="20"/>
          <w:szCs w:val="20"/>
        </w:rPr>
        <w:t xml:space="preserve">Replace BCE reconstruction loss with a combination of pixel-level MSE and a VGG-based perceptual loss (Johnson et al., 2016). This would substantially improve the sharpness and anatomical detail of generated images.</w:t>
      </w:r>
    </w:p>
    <w:p>
      <w:pPr>
        <w:spacing w:after="160" w:line="276"/>
        <w:jc w:val="both"/>
      </w:pPr>
      <w:r>
        <w:rPr>
          <w:rFonts w:ascii="Arial" w:cs="Arial" w:eastAsia="Arial" w:hAnsi="Arial"/>
          <w:b/>
          <w:bCs/>
          <w:color w:val="333333"/>
          <w:sz w:val="20"/>
          <w:szCs w:val="20"/>
        </w:rPr>
        <w:t xml:space="preserve">VAE-GAN hybrid: </w:t>
      </w:r>
      <w:r>
        <w:rPr>
          <w:rFonts w:ascii="Arial" w:cs="Arial" w:eastAsia="Arial" w:hAnsi="Arial"/>
          <w:b w:val="false"/>
          <w:bCs w:val="false"/>
          <w:color w:val="333333"/>
          <w:sz w:val="20"/>
          <w:szCs w:val="20"/>
        </w:rPr>
        <w:t xml:space="preserve">Combine the VAE latent structure with a GAN discriminator (Larsen et al., 2016) to enforce perceptual realism while maintaining the stability benefits of ELBO optimisation.</w:t>
      </w:r>
    </w:p>
    <w:p>
      <w:pPr>
        <w:spacing w:after="160" w:line="276"/>
        <w:jc w:val="both"/>
      </w:pPr>
      <w:r>
        <w:rPr>
          <w:rFonts w:ascii="Arial" w:cs="Arial" w:eastAsia="Arial" w:hAnsi="Arial"/>
          <w:b/>
          <w:bCs/>
          <w:color w:val="333333"/>
          <w:sz w:val="20"/>
          <w:szCs w:val="20"/>
        </w:rPr>
        <w:t xml:space="preserve">3D volumetric extension: </w:t>
      </w:r>
      <w:r>
        <w:rPr>
          <w:rFonts w:ascii="Arial" w:cs="Arial" w:eastAsia="Arial" w:hAnsi="Arial"/>
          <w:b w:val="false"/>
          <w:bCs w:val="false"/>
          <w:color w:val="333333"/>
          <w:sz w:val="20"/>
          <w:szCs w:val="20"/>
        </w:rPr>
        <w:t xml:space="preserve">Extend the architecture to operate on full 3D MRI volumes using 3D convolutions, enabling generation of complete brain volumes rather than isolated axial slices.</w:t>
      </w:r>
    </w:p>
    <w:p>
      <w:pPr>
        <w:spacing w:after="160" w:line="276"/>
        <w:jc w:val="both"/>
      </w:pPr>
      <w:r>
        <w:rPr>
          <w:rFonts w:ascii="Arial" w:cs="Arial" w:eastAsia="Arial" w:hAnsi="Arial"/>
          <w:b/>
          <w:bCs/>
          <w:color w:val="333333"/>
          <w:sz w:val="20"/>
          <w:szCs w:val="20"/>
        </w:rPr>
        <w:t xml:space="preserve">Membership inference testing: </w:t>
      </w:r>
      <w:r>
        <w:rPr>
          <w:rFonts w:ascii="Arial" w:cs="Arial" w:eastAsia="Arial" w:hAnsi="Arial"/>
          <w:b w:val="false"/>
          <w:bCs w:val="false"/>
          <w:color w:val="333333"/>
          <w:sz w:val="20"/>
          <w:szCs w:val="20"/>
        </w:rPr>
        <w:t xml:space="preserve">Conduct membership inference attacks (Shokri et al., 2017) to quantify privacy risk and ensure generated images do not constitute memorisation of individual training scans.</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7. References</w:t>
      </w:r>
    </w:p>
    <w:p>
      <w:pPr>
        <w:spacing w:after="200" w:line="276"/>
        <w:jc w:val="both"/>
      </w:pPr>
      <w:r>
        <w:rPr>
          <w:rFonts w:ascii="Arial" w:cs="Arial" w:eastAsia="Arial" w:hAnsi="Arial"/>
          <w:b w:val="false"/>
          <w:bCs w:val="false"/>
          <w:color w:val="333333"/>
          <w:sz w:val="20"/>
          <w:szCs w:val="20"/>
        </w:rPr>
        <w:t xml:space="preserve">All references follow APA 7th edition format.</w:t>
      </w:r>
    </w:p>
    <w:p>
      <w:pPr>
        <w:spacing w:after="100" w:line="260"/>
        <w:ind w:left="720" w:hanging="720"/>
      </w:pPr>
      <w:r>
        <w:rPr>
          <w:rFonts w:ascii="Arial" w:cs="Arial" w:eastAsia="Arial" w:hAnsi="Arial"/>
          <w:b/>
          <w:bCs/>
          <w:color w:val="1A3A5C"/>
          <w:sz w:val="18"/>
          <w:szCs w:val="18"/>
        </w:rPr>
        <w:t xml:space="preserve">[1]  </w:t>
      </w:r>
      <w:r>
        <w:rPr>
          <w:rFonts w:ascii="Arial" w:cs="Arial" w:eastAsia="Arial" w:hAnsi="Arial"/>
          <w:color w:val="333333"/>
          <w:sz w:val="18"/>
          <w:szCs w:val="18"/>
        </w:rPr>
        <w:t xml:space="preserve">Char, D. S., Shah, N. H., &amp; Magnus, D. (2018). Implementing machine learning in health care — addressing ethical challenges. New England Journal of Medicine, 378(11), 981–983.</w:t>
      </w:r>
    </w:p>
    <w:p>
      <w:pPr>
        <w:spacing w:after="100" w:line="260"/>
        <w:ind w:left="720" w:hanging="720"/>
      </w:pPr>
      <w:r>
        <w:rPr>
          <w:rFonts w:ascii="Arial" w:cs="Arial" w:eastAsia="Arial" w:hAnsi="Arial"/>
          <w:b/>
          <w:bCs/>
          <w:color w:val="1A3A5C"/>
          <w:sz w:val="18"/>
          <w:szCs w:val="18"/>
        </w:rPr>
        <w:t xml:space="preserve">[2]  </w:t>
      </w:r>
      <w:r>
        <w:rPr>
          <w:rFonts w:ascii="Arial" w:cs="Arial" w:eastAsia="Arial" w:hAnsi="Arial"/>
          <w:color w:val="333333"/>
          <w:sz w:val="18"/>
          <w:szCs w:val="18"/>
        </w:rPr>
        <w:t xml:space="preserve">Frid-Adar, M., Klang, E., Amitai, M., Goldberger, J., &amp; Greenspan, H. (2018). Synthetic data augmentation using GAN for improved liver lesion classification. In 2018 IEEE 15th International Symposium on Biomedical Imaging (ISBI 2018) (pp. 289–293). IEEE.</w:t>
      </w:r>
    </w:p>
    <w:p>
      <w:pPr>
        <w:spacing w:after="100" w:line="260"/>
        <w:ind w:left="720" w:hanging="720"/>
      </w:pPr>
      <w:r>
        <w:rPr>
          <w:rFonts w:ascii="Arial" w:cs="Arial" w:eastAsia="Arial" w:hAnsi="Arial"/>
          <w:b/>
          <w:bCs/>
          <w:color w:val="1A3A5C"/>
          <w:sz w:val="18"/>
          <w:szCs w:val="18"/>
        </w:rPr>
        <w:t xml:space="preserve">[3]  </w:t>
      </w:r>
      <w:r>
        <w:rPr>
          <w:rFonts w:ascii="Arial" w:cs="Arial" w:eastAsia="Arial" w:hAnsi="Arial"/>
          <w:color w:val="333333"/>
          <w:sz w:val="18"/>
          <w:szCs w:val="18"/>
        </w:rPr>
        <w:t xml:space="preserve">Goodfellow, I., Pouget-Abadie, J., Mirza, M., Xu, B., Warde-Farley, D., Ozair, S., Courville, A., &amp; Bengio, Y. (2014). Generative adversarial nets. Advances in Neural Information Processing Systems, 27.</w:t>
      </w:r>
    </w:p>
    <w:p>
      <w:pPr>
        <w:spacing w:after="100" w:line="260"/>
        <w:ind w:left="720" w:hanging="720"/>
      </w:pPr>
      <w:r>
        <w:rPr>
          <w:rFonts w:ascii="Arial" w:cs="Arial" w:eastAsia="Arial" w:hAnsi="Arial"/>
          <w:b/>
          <w:bCs/>
          <w:color w:val="1A3A5C"/>
          <w:sz w:val="18"/>
          <w:szCs w:val="18"/>
        </w:rPr>
        <w:t xml:space="preserve">[4]  </w:t>
      </w:r>
      <w:r>
        <w:rPr>
          <w:rFonts w:ascii="Arial" w:cs="Arial" w:eastAsia="Arial" w:hAnsi="Arial"/>
          <w:color w:val="333333"/>
          <w:sz w:val="18"/>
          <w:szCs w:val="18"/>
        </w:rPr>
        <w:t xml:space="preserve">He, K., Zhang, X., Ren, S., &amp; Sun, J. (2015). Delving deep into rectifiers: Surpassing human-level performance on ImageNet classification. In Proceedings of the IEEE International Conference on Computer Vision (pp. 1026–1034).</w:t>
      </w:r>
    </w:p>
    <w:p>
      <w:pPr>
        <w:spacing w:after="100" w:line="260"/>
        <w:ind w:left="720" w:hanging="720"/>
      </w:pPr>
      <w:r>
        <w:rPr>
          <w:rFonts w:ascii="Arial" w:cs="Arial" w:eastAsia="Arial" w:hAnsi="Arial"/>
          <w:b/>
          <w:bCs/>
          <w:color w:val="1A3A5C"/>
          <w:sz w:val="18"/>
          <w:szCs w:val="18"/>
        </w:rPr>
        <w:t xml:space="preserve">[5]  </w:t>
      </w:r>
      <w:r>
        <w:rPr>
          <w:rFonts w:ascii="Arial" w:cs="Arial" w:eastAsia="Arial" w:hAnsi="Arial"/>
          <w:color w:val="333333"/>
          <w:sz w:val="18"/>
          <w:szCs w:val="18"/>
        </w:rPr>
        <w:t xml:space="preserve">Heusel, M., Ramsauer, H., Unterthiner, T., Nessler, B., &amp; Hochreiter, S. (2017). GANs trained by a two time-scale update rule converge to a local Nash equilibrium. Advances in Neural Information Processing Systems, 30.</w:t>
      </w:r>
    </w:p>
    <w:p>
      <w:pPr>
        <w:spacing w:after="100" w:line="260"/>
        <w:ind w:left="720" w:hanging="720"/>
      </w:pPr>
      <w:r>
        <w:rPr>
          <w:rFonts w:ascii="Arial" w:cs="Arial" w:eastAsia="Arial" w:hAnsi="Arial"/>
          <w:b/>
          <w:bCs/>
          <w:color w:val="1A3A5C"/>
          <w:sz w:val="18"/>
          <w:szCs w:val="18"/>
        </w:rPr>
        <w:t xml:space="preserve">[6]  </w:t>
      </w:r>
      <w:r>
        <w:rPr>
          <w:rFonts w:ascii="Arial" w:cs="Arial" w:eastAsia="Arial" w:hAnsi="Arial"/>
          <w:color w:val="333333"/>
          <w:sz w:val="18"/>
          <w:szCs w:val="18"/>
        </w:rPr>
        <w:t xml:space="preserve">Higgins, I., Matthey, L., Pal, A., Burgess, C., Glorot, X., Botvinick, M., Mohamed, S., &amp; Lerchner, A. (2017). Beta-VAE: Learning basic visual concepts with a constrained variational framework. In Proceedings of ICLR 2017.</w:t>
      </w:r>
    </w:p>
    <w:p>
      <w:pPr>
        <w:spacing w:after="100" w:line="260"/>
        <w:ind w:left="720" w:hanging="720"/>
      </w:pPr>
      <w:r>
        <w:rPr>
          <w:rFonts w:ascii="Arial" w:cs="Arial" w:eastAsia="Arial" w:hAnsi="Arial"/>
          <w:b/>
          <w:bCs/>
          <w:color w:val="1A3A5C"/>
          <w:sz w:val="18"/>
          <w:szCs w:val="18"/>
        </w:rPr>
        <w:t xml:space="preserve">[7]  </w:t>
      </w:r>
      <w:r>
        <w:rPr>
          <w:rFonts w:ascii="Arial" w:cs="Arial" w:eastAsia="Arial" w:hAnsi="Arial"/>
          <w:color w:val="333333"/>
          <w:sz w:val="18"/>
          <w:szCs w:val="18"/>
        </w:rPr>
        <w:t xml:space="preserve">Ho, J., Jain, A., &amp; Abbeel, P. (2020). Denoising diffusion probabilistic models. Advances in Neural Information Processing Systems, 33, 6840–6851.</w:t>
      </w:r>
    </w:p>
    <w:p>
      <w:pPr>
        <w:spacing w:after="100" w:line="260"/>
        <w:ind w:left="720" w:hanging="720"/>
      </w:pPr>
      <w:r>
        <w:rPr>
          <w:rFonts w:ascii="Arial" w:cs="Arial" w:eastAsia="Arial" w:hAnsi="Arial"/>
          <w:b/>
          <w:bCs/>
          <w:color w:val="1A3A5C"/>
          <w:sz w:val="18"/>
          <w:szCs w:val="18"/>
        </w:rPr>
        <w:t xml:space="preserve">[8]  </w:t>
      </w:r>
      <w:r>
        <w:rPr>
          <w:rFonts w:ascii="Arial" w:cs="Arial" w:eastAsia="Arial" w:hAnsi="Arial"/>
          <w:color w:val="333333"/>
          <w:sz w:val="18"/>
          <w:szCs w:val="18"/>
        </w:rPr>
        <w:t xml:space="preserve">Jack, C. R., Bennett, D. A., Blennow, K., Carrillo, M. C., Dunn, B., et al. (2018). NIA-AA research framework: Toward a biological definition of Alzheimer's disease. Alzheimer's and Dementia, 14(4), 535–562.</w:t>
      </w:r>
    </w:p>
    <w:p>
      <w:pPr>
        <w:spacing w:after="100" w:line="260"/>
        <w:ind w:left="720" w:hanging="720"/>
      </w:pPr>
      <w:r>
        <w:rPr>
          <w:rFonts w:ascii="Arial" w:cs="Arial" w:eastAsia="Arial" w:hAnsi="Arial"/>
          <w:b/>
          <w:bCs/>
          <w:color w:val="1A3A5C"/>
          <w:sz w:val="18"/>
          <w:szCs w:val="18"/>
        </w:rPr>
        <w:t xml:space="preserve">[9]  </w:t>
      </w:r>
      <w:r>
        <w:rPr>
          <w:rFonts w:ascii="Arial" w:cs="Arial" w:eastAsia="Arial" w:hAnsi="Arial"/>
          <w:color w:val="333333"/>
          <w:sz w:val="18"/>
          <w:szCs w:val="18"/>
        </w:rPr>
        <w:t xml:space="preserve">Johnson, J., Alahi, A., &amp; Fei-Fei, L. (2016). Perceptual losses for real-time style transfer and super-resolution. In European Conference on Computer Vision (pp. 694–711). Springer.</w:t>
      </w:r>
    </w:p>
    <w:p>
      <w:pPr>
        <w:spacing w:after="100" w:line="260"/>
        <w:ind w:left="720" w:hanging="720"/>
      </w:pPr>
      <w:r>
        <w:rPr>
          <w:rFonts w:ascii="Arial" w:cs="Arial" w:eastAsia="Arial" w:hAnsi="Arial"/>
          <w:b/>
          <w:bCs/>
          <w:color w:val="1A3A5C"/>
          <w:sz w:val="18"/>
          <w:szCs w:val="18"/>
        </w:rPr>
        <w:t xml:space="preserve">[10]  </w:t>
      </w:r>
      <w:r>
        <w:rPr>
          <w:rFonts w:ascii="Arial" w:cs="Arial" w:eastAsia="Arial" w:hAnsi="Arial"/>
          <w:color w:val="333333"/>
          <w:sz w:val="18"/>
          <w:szCs w:val="18"/>
        </w:rPr>
        <w:t xml:space="preserve">Kingma, D. P., &amp; Ba, J. (2015). Adam: A method for stochastic optimization. In Proceedings of ICLR 2015.</w:t>
      </w:r>
    </w:p>
    <w:p>
      <w:pPr>
        <w:spacing w:after="100" w:line="260"/>
        <w:ind w:left="720" w:hanging="720"/>
      </w:pPr>
      <w:r>
        <w:rPr>
          <w:rFonts w:ascii="Arial" w:cs="Arial" w:eastAsia="Arial" w:hAnsi="Arial"/>
          <w:b/>
          <w:bCs/>
          <w:color w:val="1A3A5C"/>
          <w:sz w:val="18"/>
          <w:szCs w:val="18"/>
        </w:rPr>
        <w:t xml:space="preserve">[11]  </w:t>
      </w:r>
      <w:r>
        <w:rPr>
          <w:rFonts w:ascii="Arial" w:cs="Arial" w:eastAsia="Arial" w:hAnsi="Arial"/>
          <w:color w:val="333333"/>
          <w:sz w:val="18"/>
          <w:szCs w:val="18"/>
        </w:rPr>
        <w:t xml:space="preserve">Kingma, D. P., &amp; Welling, M. (2013). Auto-encoding variational Bayes. arXiv preprint arXiv:1312.6114.</w:t>
      </w:r>
    </w:p>
    <w:p>
      <w:pPr>
        <w:spacing w:after="100" w:line="260"/>
        <w:ind w:left="720" w:hanging="720"/>
      </w:pPr>
      <w:r>
        <w:rPr>
          <w:rFonts w:ascii="Arial" w:cs="Arial" w:eastAsia="Arial" w:hAnsi="Arial"/>
          <w:b/>
          <w:bCs/>
          <w:color w:val="1A3A5C"/>
          <w:sz w:val="18"/>
          <w:szCs w:val="18"/>
        </w:rPr>
        <w:t xml:space="preserve">[12]  </w:t>
      </w:r>
      <w:r>
        <w:rPr>
          <w:rFonts w:ascii="Arial" w:cs="Arial" w:eastAsia="Arial" w:hAnsi="Arial"/>
          <w:color w:val="333333"/>
          <w:sz w:val="18"/>
          <w:szCs w:val="18"/>
        </w:rPr>
        <w:t xml:space="preserve">Larsen, A. B. L., Sonderby, S. K., Larochelle, H., &amp; Winther, O. (2016). Autoencoding beyond pixels using a learned similarity metric. In Proceedings of ICML 2016 (pp. 1558–1566).</w:t>
      </w:r>
    </w:p>
    <w:p>
      <w:pPr>
        <w:spacing w:after="100" w:line="260"/>
        <w:ind w:left="720" w:hanging="720"/>
      </w:pPr>
      <w:r>
        <w:rPr>
          <w:rFonts w:ascii="Arial" w:cs="Arial" w:eastAsia="Arial" w:hAnsi="Arial"/>
          <w:b/>
          <w:bCs/>
          <w:color w:val="1A3A5C"/>
          <w:sz w:val="18"/>
          <w:szCs w:val="18"/>
        </w:rPr>
        <w:t xml:space="preserve">[13]  </w:t>
      </w:r>
      <w:r>
        <w:rPr>
          <w:rFonts w:ascii="Arial" w:cs="Arial" w:eastAsia="Arial" w:hAnsi="Arial"/>
          <w:color w:val="333333"/>
          <w:sz w:val="18"/>
          <w:szCs w:val="18"/>
        </w:rPr>
        <w:t xml:space="preserve">Maas, A. L., Hannun, A. Y., &amp; Ng, A. Y. (2013). Rectifier nonlinearities improve neural network acoustic models. In Proceedings of the ICML Workshop on Deep Learning for Audio, Speech and Language Processing.</w:t>
      </w:r>
    </w:p>
    <w:p>
      <w:pPr>
        <w:spacing w:after="100" w:line="260"/>
        <w:ind w:left="720" w:hanging="720"/>
      </w:pPr>
      <w:r>
        <w:rPr>
          <w:rFonts w:ascii="Arial" w:cs="Arial" w:eastAsia="Arial" w:hAnsi="Arial"/>
          <w:b/>
          <w:bCs/>
          <w:color w:val="1A3A5C"/>
          <w:sz w:val="18"/>
          <w:szCs w:val="18"/>
        </w:rPr>
        <w:t xml:space="preserve">[14]  </w:t>
      </w:r>
      <w:r>
        <w:rPr>
          <w:rFonts w:ascii="Arial" w:cs="Arial" w:eastAsia="Arial" w:hAnsi="Arial"/>
          <w:color w:val="333333"/>
          <w:sz w:val="18"/>
          <w:szCs w:val="18"/>
        </w:rPr>
        <w:t xml:space="preserve">Marcus, D. S., Wang, T. H., Parker, J., Csernansky, J. G., Morris, J. C., &amp; Buckner, R. L. (2007). Open Access Series of Imaging Studies (OASIS): Cross-sectional MRI data in young, middle aged, nondemented, and demented older adults. Journal of Cognitive Neuroscience, 19(9), 1498–1507.</w:t>
      </w:r>
    </w:p>
    <w:p>
      <w:pPr>
        <w:spacing w:after="100" w:line="260"/>
        <w:ind w:left="720" w:hanging="720"/>
      </w:pPr>
      <w:r>
        <w:rPr>
          <w:rFonts w:ascii="Arial" w:cs="Arial" w:eastAsia="Arial" w:hAnsi="Arial"/>
          <w:b/>
          <w:bCs/>
          <w:color w:val="1A3A5C"/>
          <w:sz w:val="18"/>
          <w:szCs w:val="18"/>
        </w:rPr>
        <w:t xml:space="preserve">[15]  </w:t>
      </w:r>
      <w:r>
        <w:rPr>
          <w:rFonts w:ascii="Arial" w:cs="Arial" w:eastAsia="Arial" w:hAnsi="Arial"/>
          <w:color w:val="333333"/>
          <w:sz w:val="18"/>
          <w:szCs w:val="18"/>
        </w:rPr>
        <w:t xml:space="preserve">Obermeyer, Z., Powers, B., Vogeli, C., &amp; Mullainathan, S. (2019). Dissecting racial bias in an algorithm used to manage the health of populations. Science, 366(6464), 447–453.</w:t>
      </w:r>
    </w:p>
    <w:p>
      <w:pPr>
        <w:spacing w:after="100" w:line="260"/>
        <w:ind w:left="720" w:hanging="720"/>
      </w:pPr>
      <w:r>
        <w:rPr>
          <w:rFonts w:ascii="Arial" w:cs="Arial" w:eastAsia="Arial" w:hAnsi="Arial"/>
          <w:b/>
          <w:bCs/>
          <w:color w:val="1A3A5C"/>
          <w:sz w:val="18"/>
          <w:szCs w:val="18"/>
        </w:rPr>
        <w:t xml:space="preserve">[16]  </w:t>
      </w:r>
      <w:r>
        <w:rPr>
          <w:rFonts w:ascii="Arial" w:cs="Arial" w:eastAsia="Arial" w:hAnsi="Arial"/>
          <w:color w:val="333333"/>
          <w:sz w:val="18"/>
          <w:szCs w:val="18"/>
        </w:rPr>
        <w:t xml:space="preserve">Odena, A., Dumoulin, V., &amp; Olah, C. (2016). Deconvolution and checkerboard artifacts. Distill. https://distill.pub/2016/deconv-checkerboard/</w:t>
      </w:r>
    </w:p>
    <w:p>
      <w:pPr>
        <w:spacing w:after="100" w:line="260"/>
        <w:ind w:left="720" w:hanging="720"/>
      </w:pPr>
      <w:r>
        <w:rPr>
          <w:rFonts w:ascii="Arial" w:cs="Arial" w:eastAsia="Arial" w:hAnsi="Arial"/>
          <w:b/>
          <w:bCs/>
          <w:color w:val="1A3A5C"/>
          <w:sz w:val="18"/>
          <w:szCs w:val="18"/>
        </w:rPr>
        <w:t xml:space="preserve">[17]  </w:t>
      </w:r>
      <w:r>
        <w:rPr>
          <w:rFonts w:ascii="Arial" w:cs="Arial" w:eastAsia="Arial" w:hAnsi="Arial"/>
          <w:color w:val="333333"/>
          <w:sz w:val="18"/>
          <w:szCs w:val="18"/>
        </w:rPr>
        <w:t xml:space="preserve">Shokri, R., Stronati, M., Song, C., &amp; Shmatikov, V. (2017). Membership inference attacks against machine learning models. In 2017 IEEE Symposium on Security and Privacy (SP) (pp. 3–18). IEEE.</w:t>
      </w:r>
    </w:p>
    <w:p>
      <w:pPr>
        <w:spacing w:after="100" w:line="260"/>
        <w:ind w:left="720" w:hanging="720"/>
      </w:pPr>
      <w:r>
        <w:rPr>
          <w:rFonts w:ascii="Arial" w:cs="Arial" w:eastAsia="Arial" w:hAnsi="Arial"/>
          <w:b/>
          <w:bCs/>
          <w:color w:val="1A3A5C"/>
          <w:sz w:val="18"/>
          <w:szCs w:val="18"/>
        </w:rPr>
        <w:t xml:space="preserve">[18]  </w:t>
      </w:r>
      <w:r>
        <w:rPr>
          <w:rFonts w:ascii="Arial" w:cs="Arial" w:eastAsia="Arial" w:hAnsi="Arial"/>
          <w:color w:val="333333"/>
          <w:sz w:val="18"/>
          <w:szCs w:val="18"/>
        </w:rPr>
        <w:t xml:space="preserve">Shorten, C., &amp; Khoshgoftaar, T. M. (2019). A survey on image data augmentation for deep learning. Journal of Big Data, 6(1), 1–48.</w:t>
      </w:r>
    </w:p>
    <w:p>
      <w:pPr>
        <w:spacing w:after="100" w:line="260"/>
        <w:ind w:left="720" w:hanging="720"/>
      </w:pPr>
      <w:r>
        <w:rPr>
          <w:rFonts w:ascii="Arial" w:cs="Arial" w:eastAsia="Arial" w:hAnsi="Arial"/>
          <w:b/>
          <w:bCs/>
          <w:color w:val="1A3A5C"/>
          <w:sz w:val="18"/>
          <w:szCs w:val="18"/>
        </w:rPr>
        <w:t xml:space="preserve">[19]  </w:t>
      </w:r>
      <w:r>
        <w:rPr>
          <w:rFonts w:ascii="Arial" w:cs="Arial" w:eastAsia="Arial" w:hAnsi="Arial"/>
          <w:color w:val="333333"/>
          <w:sz w:val="18"/>
          <w:szCs w:val="18"/>
        </w:rPr>
        <w:t xml:space="preserve">Theis, L., van den Oord, A., &amp; Bethge, M. (2016). A note on the evaluation of generative models. In Proceedings of ICLR 2016.</w:t>
      </w:r>
    </w:p>
    <w:p>
      <w:pPr>
        <w:spacing w:after="100" w:line="260"/>
        <w:ind w:left="720" w:hanging="720"/>
      </w:pPr>
      <w:r>
        <w:rPr>
          <w:rFonts w:ascii="Arial" w:cs="Arial" w:eastAsia="Arial" w:hAnsi="Arial"/>
          <w:b/>
          <w:bCs/>
          <w:color w:val="1A3A5C"/>
          <w:sz w:val="18"/>
          <w:szCs w:val="18"/>
        </w:rPr>
        <w:t xml:space="preserve">[20]  </w:t>
      </w:r>
      <w:r>
        <w:rPr>
          <w:rFonts w:ascii="Arial" w:cs="Arial" w:eastAsia="Arial" w:hAnsi="Arial"/>
          <w:color w:val="333333"/>
          <w:sz w:val="18"/>
          <w:szCs w:val="18"/>
        </w:rPr>
        <w:t xml:space="preserve">Vaswani, A., Shazeer, N., Parmar, N., Uszkoreit, J., Jones, L., Gomez, A. N., Kaiser, L., &amp; Polosukhin, I. (2017). Attention is all you need. Advances in Neural Information Processing Systems, 30.</w:t>
      </w:r>
    </w:p>
    <w:p>
      <w:pPr>
        <w:spacing w:after="100" w:line="260"/>
        <w:ind w:left="720" w:hanging="720"/>
      </w:pPr>
      <w:r>
        <w:rPr>
          <w:rFonts w:ascii="Arial" w:cs="Arial" w:eastAsia="Arial" w:hAnsi="Arial"/>
          <w:b/>
          <w:bCs/>
          <w:color w:val="1A3A5C"/>
          <w:sz w:val="18"/>
          <w:szCs w:val="18"/>
        </w:rPr>
        <w:t xml:space="preserve">[21]  </w:t>
      </w:r>
      <w:r>
        <w:rPr>
          <w:rFonts w:ascii="Arial" w:cs="Arial" w:eastAsia="Arial" w:hAnsi="Arial"/>
          <w:color w:val="333333"/>
          <w:sz w:val="18"/>
          <w:szCs w:val="18"/>
        </w:rPr>
        <w:t xml:space="preserve">Wang, Z., Bovik, A. C., Sheikh, H. R., &amp; Simoncelli, E. P. (2004). Image quality assessment: From error visibility to structural similarity. IEEE Transactions on Image Processing, 13(4), 600–612.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888888"/>
        <w:sz w:val="16"/>
        <w:szCs w:val="16"/>
      </w:rPr>
      <w:t xml:space="preserve">Generative AI Analysis Report  |  Qeis Kamran  |  P5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2026-03-22T19:52:53.820Z</dcterms:created>
  <dcterms:modified xsi:type="dcterms:W3CDTF">2026-03-22T19:52:53.821Z</dcterms:modified>
</cp:coreProperties>
</file>

<file path=docProps/custom.xml><?xml version="1.0" encoding="utf-8"?>
<Properties xmlns="http://schemas.openxmlformats.org/officeDocument/2006/custom-properties" xmlns:vt="http://schemas.openxmlformats.org/officeDocument/2006/docPropsVTypes"/>
</file>