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
          <w:szCs w:val="12"/>
        </w:rPr>
        <w:t xml:space="preserve"/>
      </w:r>
    </w:p>
    <w:p>
      <w:pPr>
        <w:spacing w:after="60" w:before="0"/>
        <w:jc w:val="center"/>
      </w:pPr>
      <w:r>
        <w:rPr>
          <w:rFonts w:ascii="Times New Roman" w:cs="Times New Roman" w:eastAsia="Times New Roman" w:hAnsi="Times New Roman"/>
          <w:b/>
          <w:bCs/>
          <w:sz w:val="44"/>
          <w:szCs w:val="44"/>
        </w:rPr>
        <w:t xml:space="preserve">Machine Learning Analysis Report</w:t>
      </w:r>
    </w:p>
    <w:p>
      <w:pPr>
        <w:spacing w:after="40" w:before="0"/>
        <w:jc w:val="center"/>
      </w:pPr>
      <w:r>
        <w:rPr>
          <w:rFonts w:ascii="Times New Roman" w:cs="Times New Roman" w:eastAsia="Times New Roman" w:hAnsi="Times New Roman"/>
          <w:b/>
          <w:bCs/>
          <w:sz w:val="26"/>
          <w:szCs w:val="26"/>
        </w:rPr>
        <w:t xml:space="preserve">Iris Species Classification using Random Forest:</w:t>
      </w:r>
    </w:p>
    <w:p>
      <w:pPr>
        <w:spacing w:after="40" w:before="0"/>
        <w:jc w:val="center"/>
      </w:pPr>
      <w:r>
        <w:rPr>
          <w:rFonts w:ascii="Times New Roman" w:cs="Times New Roman" w:eastAsia="Times New Roman" w:hAnsi="Times New Roman"/>
          <w:b/>
          <w:bCs/>
          <w:sz w:val="24"/>
          <w:szCs w:val="24"/>
        </w:rPr>
        <w:t xml:space="preserve">A Supervised Machine Learning Workflow</w:t>
      </w:r>
    </w:p>
    <w:p>
      <w:pPr>
        <w:pBdr>
          <w:bottom w:val="single" w:color="000000" w:sz="2" w:space="1"/>
        </w:pBdr>
        <w:spacing w:after="200" w:before="0"/>
        <w:jc w:val="center"/>
      </w:pPr>
      <w:r>
        <w:rPr>
          <w:rFonts w:ascii="Times New Roman" w:cs="Times New Roman" w:eastAsia="Times New Roman" w:hAnsi="Times New Roman"/>
          <w:color w:val="555555"/>
          <w:sz w:val="18"/>
          <w:szCs w:val="18"/>
        </w:rPr>
        <w:t xml:space="preserve">Udacity MSc Artificial Intelligence · Machine Learning Foundations · March 2026</w:t>
      </w:r>
    </w:p>
    <w:p>
      <w:pPr>
        <w:spacing w:after="300" w:before="80"/>
        <w:jc w:val="center"/>
      </w:pPr>
      <w:r>
        <w:rPr>
          <w:rFonts w:ascii="Times New Roman" w:cs="Times New Roman" w:eastAsia="Times New Roman" w:hAnsi="Times New Roman"/>
          <w:sz w:val="20"/>
          <w:szCs w:val="20"/>
        </w:rPr>
        <w:t xml:space="preserve">Qeis Kamran · OTH Amberg-Weiden · CEREBRA Laboratories AG</w:t>
      </w:r>
    </w:p>
    <w:p>
      <w:r>
        <w:br w:type="page"/>
      </w:r>
    </w:p>
    <w:p>
      <w:pPr>
        <w:pStyle w:val="Heading1"/>
        <w:spacing w:after="120" w:before="360"/>
      </w:pPr>
      <w:r>
        <w:rPr>
          <w:rFonts w:ascii="Times New Roman" w:cs="Times New Roman" w:eastAsia="Times New Roman" w:hAnsi="Times New Roman"/>
          <w:b/>
          <w:bCs/>
          <w:sz w:val="28"/>
          <w:szCs w:val="28"/>
        </w:rPr>
        <w:t xml:space="preserve">1. Overview</w:t>
      </w:r>
    </w:p>
    <w:p>
      <w:pPr>
        <w:spacing w:after="80" w:before="80"/>
      </w:pPr>
      <w:r>
        <w:rPr>
          <w:rFonts w:ascii="Times New Roman" w:cs="Times New Roman" w:eastAsia="Times New Roman" w:hAnsi="Times New Roman"/>
          <w:sz w:val="20"/>
          <w:szCs w:val="20"/>
        </w:rPr>
        <w:t xml:space="preserve">This report presents a complete supervised machine learning workflow applied to the UCI Iris dataset (Fisher, 1936), available at https://archive.ics.uci.edu/ml/datasets/iris. The task is multi-class classification: predicting the species of iris flowers (Setosa, Versicolor, or Virginica) from four morphological measurements. A Random Forest classifier was selected, trained, and evaluated using accuracy, F1-score, and 5-fold cross-validation.</w:t>
      </w:r>
    </w:p>
    <w:p>
      <w:r>
        <w:rPr>
          <w:sz w:val="12"/>
          <w:szCs w:val="12"/>
        </w:rPr>
        <w:t xml:space="preserve"/>
      </w:r>
    </w:p>
    <w:p>
      <w:pPr>
        <w:spacing w:after="80" w:before="80"/>
      </w:pPr>
      <w:r>
        <w:rPr>
          <w:rFonts w:ascii="Times New Roman" w:cs="Times New Roman" w:eastAsia="Times New Roman" w:hAnsi="Times New Roman"/>
          <w:sz w:val="20"/>
          <w:szCs w:val="20"/>
        </w:rPr>
        <w:t xml:space="preserve">The Iris dataset is a canonical benchmark in pattern recognition and machine learning (Breiman, 2001). While simple by modern standards, it is well-suited for demonstrating the full supervised learning workflow — from preprocessing through evaluation — and provides clear, interpretable results that support meaningful analysis of model behaviour.</w:t>
      </w:r>
    </w:p>
    <w:p>
      <w:r>
        <w:rPr>
          <w:sz w:val="12"/>
          <w:szCs w:val="12"/>
        </w:rPr>
        <w:t xml:space="preserve"/>
      </w:r>
    </w:p>
    <w:p>
      <w:pPr>
        <w:pStyle w:val="Heading1"/>
        <w:spacing w:after="120" w:before="360"/>
      </w:pPr>
      <w:r>
        <w:rPr>
          <w:rFonts w:ascii="Times New Roman" w:cs="Times New Roman" w:eastAsia="Times New Roman" w:hAnsi="Times New Roman"/>
          <w:b/>
          <w:bCs/>
          <w:sz w:val="28"/>
          <w:szCs w:val="28"/>
        </w:rPr>
        <w:t xml:space="preserve">2. Dataset Description</w:t>
      </w:r>
    </w:p>
    <w:p>
      <w:pPr>
        <w:spacing w:after="80" w:before="80"/>
      </w:pPr>
      <w:r>
        <w:rPr>
          <w:rFonts w:ascii="Times New Roman" w:cs="Times New Roman" w:eastAsia="Times New Roman" w:hAnsi="Times New Roman"/>
          <w:sz w:val="20"/>
          <w:szCs w:val="20"/>
        </w:rPr>
        <w:t xml:space="preserve">The UCI Iris dataset contains 150 observations of iris flowers collected by Ronald Fisher in 1936. Each observation represents one flower sample described by four continuous morphological features and a categorical class label. The dataset is perfectly balanced with 50 samples per species.</w:t>
      </w:r>
    </w:p>
    <w:p>
      <w:r>
        <w:rPr>
          <w:sz w:val="12"/>
          <w:szCs w:val="12"/>
        </w:rP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1400"/>
      </w:tblGrid>
      <w:tr>
        <w:trPr>
          <w:tblHeader/>
        </w:trPr>
        <w:tc>
          <w:tcPr>
            <w:tcW w:type="dxa" w:w="22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Variable</w:t>
            </w:r>
          </w:p>
        </w:tc>
        <w:tc>
          <w:tcPr>
            <w:tcW w:type="dxa" w:w="14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Type</w:t>
            </w:r>
          </w:p>
        </w:tc>
        <w:tc>
          <w:tcPr>
            <w:tcW w:type="dxa" w:w="34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Description</w:t>
            </w:r>
          </w:p>
        </w:tc>
        <w:tc>
          <w:tcPr>
            <w:tcW w:type="dxa" w:w="14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Range</w:t>
            </w:r>
          </w:p>
        </w:tc>
      </w:tr>
      <w:tr>
        <w:tc>
          <w:tcPr>
            <w:tcW w:type="dxa" w:w="22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sepal length (cm)</w:t>
            </w:r>
          </w:p>
        </w:tc>
        <w:tc>
          <w:tcPr>
            <w:tcW w:type="dxa" w:w="1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3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Length of the sepal</w:t>
            </w:r>
          </w:p>
        </w:tc>
        <w:tc>
          <w:tcPr>
            <w:tcW w:type="dxa" w:w="1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4.3 – 7.9</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sepal width (cm)</w:t>
            </w:r>
          </w:p>
        </w:tc>
        <w:tc>
          <w:tcPr>
            <w:tcW w:type="dxa" w:w="1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3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Width of the sepal</w:t>
            </w:r>
          </w:p>
        </w:tc>
        <w:tc>
          <w:tcPr>
            <w:tcW w:type="dxa" w:w="1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2.0 – 4.4</w:t>
            </w:r>
          </w:p>
        </w:tc>
      </w:tr>
      <w:tr>
        <w:tc>
          <w:tcPr>
            <w:tcW w:type="dxa" w:w="22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petal length (cm)</w:t>
            </w:r>
          </w:p>
        </w:tc>
        <w:tc>
          <w:tcPr>
            <w:tcW w:type="dxa" w:w="1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3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Length of the petal (most discriminative)</w:t>
            </w:r>
          </w:p>
        </w:tc>
        <w:tc>
          <w:tcPr>
            <w:tcW w:type="dxa" w:w="1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1.0 – 6.9</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petal width (cm)</w:t>
            </w:r>
          </w:p>
        </w:tc>
        <w:tc>
          <w:tcPr>
            <w:tcW w:type="dxa" w:w="1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Numeric input</w:t>
            </w:r>
          </w:p>
        </w:tc>
        <w:tc>
          <w:tcPr>
            <w:tcW w:type="dxa" w:w="3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Width of the petal (most discriminative)</w:t>
            </w:r>
          </w:p>
        </w:tc>
        <w:tc>
          <w:tcPr>
            <w:tcW w:type="dxa" w:w="1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0.1 – 2.5</w:t>
            </w:r>
          </w:p>
        </w:tc>
      </w:tr>
      <w:tr>
        <w:tc>
          <w:tcPr>
            <w:tcW w:type="dxa" w:w="22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species</w:t>
            </w:r>
          </w:p>
        </w:tc>
        <w:tc>
          <w:tcPr>
            <w:tcW w:type="dxa" w:w="1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Categorical target</w:t>
            </w:r>
          </w:p>
        </w:tc>
        <w:tc>
          <w:tcPr>
            <w:tcW w:type="dxa" w:w="3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Iris-setosa / Iris-versicolor / Iris-virginica</w:t>
            </w:r>
          </w:p>
        </w:tc>
        <w:tc>
          <w:tcPr>
            <w:tcW w:type="dxa" w:w="1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3 classes</w:t>
            </w:r>
          </w:p>
        </w:tc>
      </w:tr>
    </w:tbl>
    <w:p>
      <w:r>
        <w:rPr>
          <w:sz w:val="12"/>
          <w:szCs w:val="12"/>
        </w:rPr>
        <w:t xml:space="preserve"/>
      </w:r>
    </w:p>
    <w:p>
      <w:pPr>
        <w:spacing w:after="80" w:before="80"/>
      </w:pPr>
      <w:r>
        <w:rPr>
          <w:rFonts w:ascii="Times New Roman" w:cs="Times New Roman" w:eastAsia="Times New Roman" w:hAnsi="Times New Roman"/>
          <w:sz w:val="20"/>
          <w:szCs w:val="20"/>
        </w:rPr>
        <w:t xml:space="preserve">There are no missing values. Setosa is linearly separable from the other two species in petal space, while Versicolor and Virginica show partial overlap, making this a moderately challenging three-class problem (Figure 3A).</w:t>
      </w:r>
    </w:p>
    <w:p>
      <w:r>
        <w:rPr>
          <w:sz w:val="12"/>
          <w:szCs w:val="12"/>
        </w:rPr>
        <w:t xml:space="preserve"/>
      </w:r>
    </w:p>
    <w:p>
      <w:r>
        <w:br w:type="page"/>
      </w:r>
    </w:p>
    <w:p>
      <w:pPr>
        <w:pStyle w:val="Heading1"/>
        <w:spacing w:after="120" w:before="360"/>
      </w:pPr>
      <w:r>
        <w:rPr>
          <w:rFonts w:ascii="Times New Roman" w:cs="Times New Roman" w:eastAsia="Times New Roman" w:hAnsi="Times New Roman"/>
          <w:b/>
          <w:bCs/>
          <w:sz w:val="28"/>
          <w:szCs w:val="28"/>
        </w:rPr>
        <w:t xml:space="preserve">3. Modeling Approach</w:t>
      </w:r>
    </w:p>
    <w:p>
      <w:pPr>
        <w:pStyle w:val="Heading2"/>
        <w:spacing w:after="80" w:before="220"/>
      </w:pPr>
      <w:r>
        <w:rPr>
          <w:rFonts w:ascii="Times New Roman" w:cs="Times New Roman" w:eastAsia="Times New Roman" w:hAnsi="Times New Roman"/>
          <w:b/>
          <w:bCs/>
          <w:sz w:val="22"/>
          <w:szCs w:val="22"/>
        </w:rPr>
        <w:t xml:space="preserve">3.1 Data Preprocessing</w:t>
      </w:r>
    </w:p>
    <w:p>
      <w:pPr>
        <w:spacing w:after="80" w:before="80"/>
      </w:pPr>
      <w:r>
        <w:rPr>
          <w:rFonts w:ascii="Times New Roman" w:cs="Times New Roman" w:eastAsia="Times New Roman" w:hAnsi="Times New Roman"/>
          <w:sz w:val="20"/>
          <w:szCs w:val="20"/>
        </w:rPr>
        <w:t xml:space="preserve">The dataset was split into training (80%, n=120) and test (20%, n=30) sets using stratified sampling to preserve class proportions. Features were standardised to zero mean and unit variance using StandardScaler before training. Standardisation is recommended for ensemble tree methods to ensure that features measured on different scales do not dominate importance calculations (Pedregosa et al., 2011).</w:t>
      </w:r>
    </w:p>
    <w:p>
      <w:r>
        <w:rPr>
          <w:sz w:val="12"/>
          <w:szCs w:val="12"/>
        </w:rPr>
        <w:t xml:space="preserve"/>
      </w:r>
    </w:p>
    <w:p>
      <w:pPr>
        <w:pStyle w:val="Heading2"/>
        <w:spacing w:after="80" w:before="220"/>
      </w:pPr>
      <w:r>
        <w:rPr>
          <w:rFonts w:ascii="Times New Roman" w:cs="Times New Roman" w:eastAsia="Times New Roman" w:hAnsi="Times New Roman"/>
          <w:b/>
          <w:bCs/>
          <w:sz w:val="22"/>
          <w:szCs w:val="22"/>
        </w:rPr>
        <w:t xml:space="preserve">3.2 Model Selection</w:t>
      </w:r>
    </w:p>
    <w:p>
      <w:pPr>
        <w:spacing w:after="80" w:before="80"/>
      </w:pPr>
      <w:r>
        <w:rPr>
          <w:rFonts w:ascii="Times New Roman" w:cs="Times New Roman" w:eastAsia="Times New Roman" w:hAnsi="Times New Roman"/>
          <w:sz w:val="20"/>
          <w:szCs w:val="20"/>
        </w:rPr>
        <w:t xml:space="preserve">A Random Forest classifier (Breiman, 2001) was selected for the following reasons:</w:t>
      </w:r>
    </w:p>
    <w:p>
      <w:pPr>
        <w:pStyle w:val="ListParagraph"/>
        <w:numPr>
          <w:ilvl w:val="0"/>
          <w:numId w:val="2"/>
        </w:numPr>
        <w:spacing w:after="40" w:before="40"/>
      </w:pPr>
      <w:r>
        <w:rPr>
          <w:rFonts w:ascii="Times New Roman" w:cs="Times New Roman" w:eastAsia="Times New Roman" w:hAnsi="Times New Roman"/>
          <w:sz w:val="19"/>
          <w:szCs w:val="19"/>
        </w:rPr>
        <w:t xml:space="preserve">It handles multi-class classification natively without one-vs-rest decomposition</w:t>
      </w:r>
    </w:p>
    <w:p>
      <w:pPr>
        <w:pStyle w:val="ListParagraph"/>
        <w:numPr>
          <w:ilvl w:val="0"/>
          <w:numId w:val="2"/>
        </w:numPr>
        <w:spacing w:after="40" w:before="40"/>
      </w:pPr>
      <w:r>
        <w:rPr>
          <w:rFonts w:ascii="Times New Roman" w:cs="Times New Roman" w:eastAsia="Times New Roman" w:hAnsi="Times New Roman"/>
          <w:sz w:val="19"/>
          <w:szCs w:val="19"/>
        </w:rPr>
        <w:t xml:space="preserve">It is robust to the small sample size (n=150) through bootstrap aggregation</w:t>
      </w:r>
    </w:p>
    <w:p>
      <w:pPr>
        <w:pStyle w:val="ListParagraph"/>
        <w:numPr>
          <w:ilvl w:val="0"/>
          <w:numId w:val="2"/>
        </w:numPr>
        <w:spacing w:after="40" w:before="40"/>
      </w:pPr>
      <w:r>
        <w:rPr>
          <w:rFonts w:ascii="Times New Roman" w:cs="Times New Roman" w:eastAsia="Times New Roman" w:hAnsi="Times New Roman"/>
          <w:sz w:val="19"/>
          <w:szCs w:val="19"/>
        </w:rPr>
        <w:t xml:space="preserve">It provides interpretable feature importance scores, which are directly relevant to understanding which measurements drive species discrimination</w:t>
      </w:r>
    </w:p>
    <w:p>
      <w:pPr>
        <w:pStyle w:val="ListParagraph"/>
        <w:numPr>
          <w:ilvl w:val="0"/>
          <w:numId w:val="2"/>
        </w:numPr>
        <w:spacing w:after="40" w:before="40"/>
      </w:pPr>
      <w:r>
        <w:rPr>
          <w:rFonts w:ascii="Times New Roman" w:cs="Times New Roman" w:eastAsia="Times New Roman" w:hAnsi="Times New Roman"/>
          <w:sz w:val="19"/>
          <w:szCs w:val="19"/>
        </w:rPr>
        <w:t xml:space="preserve">It has low sensitivity to hyperparameter choices, making it appropriate for a foundational ML project</w:t>
      </w:r>
    </w:p>
    <w:p>
      <w:r>
        <w:rPr>
          <w:sz w:val="12"/>
          <w:szCs w:val="12"/>
        </w:rPr>
        <w:t xml:space="preserve"/>
      </w:r>
    </w:p>
    <w:p>
      <w:pPr>
        <w:spacing w:after="80" w:before="80"/>
      </w:pPr>
      <w:r>
        <w:rPr>
          <w:rFonts w:ascii="Times New Roman" w:cs="Times New Roman" w:eastAsia="Times New Roman" w:hAnsi="Times New Roman"/>
          <w:sz w:val="20"/>
          <w:szCs w:val="20"/>
        </w:rPr>
        <w:t xml:space="preserve">The model was configured with 100 estimators and a fixed random seed (42) for reproducibility.</w:t>
      </w:r>
    </w:p>
    <w:p>
      <w:r>
        <w:rPr>
          <w:sz w:val="12"/>
          <w:szCs w:val="12"/>
        </w:rPr>
        <w:t xml:space="preserve"/>
      </w:r>
    </w:p>
    <w:p>
      <w:pPr>
        <w:pStyle w:val="Heading2"/>
        <w:spacing w:after="80" w:before="220"/>
      </w:pPr>
      <w:r>
        <w:rPr>
          <w:rFonts w:ascii="Times New Roman" w:cs="Times New Roman" w:eastAsia="Times New Roman" w:hAnsi="Times New Roman"/>
          <w:b/>
          <w:bCs/>
          <w:sz w:val="22"/>
          <w:szCs w:val="22"/>
        </w:rPr>
        <w:t xml:space="preserve">3.3 Evaluation Metrics</w:t>
      </w:r>
    </w:p>
    <w:p>
      <w:pPr>
        <w:spacing w:after="80" w:before="80"/>
      </w:pPr>
      <w:r>
        <w:rPr>
          <w:rFonts w:ascii="Times New Roman" w:cs="Times New Roman" w:eastAsia="Times New Roman" w:hAnsi="Times New Roman"/>
          <w:sz w:val="20"/>
          <w:szCs w:val="20"/>
        </w:rPr>
        <w:t xml:space="preserve">Three evaluation approaches were used. Test set accuracy measures overall correct classification rate on held-out data. The classification report provides per-class precision, recall, and F1-score, which are essential for understanding performance on each species individually. Five-fold cross-validation provides a more reliable estimate of generalisation performance by averaging over five independent train/test splits (Pedregosa et al., 2011).</w:t>
      </w:r>
    </w:p>
    <w:p>
      <w:r>
        <w:rPr>
          <w:sz w:val="12"/>
          <w:szCs w:val="12"/>
        </w:rPr>
        <w:t xml:space="preserve"/>
      </w:r>
    </w:p>
    <w:p>
      <w:pPr>
        <w:pStyle w:val="Heading1"/>
        <w:spacing w:after="120" w:before="360"/>
      </w:pPr>
      <w:r>
        <w:rPr>
          <w:rFonts w:ascii="Times New Roman" w:cs="Times New Roman" w:eastAsia="Times New Roman" w:hAnsi="Times New Roman"/>
          <w:b/>
          <w:bCs/>
          <w:sz w:val="28"/>
          <w:szCs w:val="28"/>
        </w:rPr>
        <w:t xml:space="preserve">4. Results</w:t>
      </w:r>
    </w:p>
    <w:p>
      <w:pPr>
        <w:spacing w:after="80" w:before="80"/>
      </w:pPr>
      <w:r>
        <w:rPr>
          <w:rFonts w:ascii="Times New Roman" w:cs="Times New Roman" w:eastAsia="Times New Roman" w:hAnsi="Times New Roman"/>
          <w:sz w:val="20"/>
          <w:szCs w:val="20"/>
        </w:rPr>
        <w:t xml:space="preserve">The Random Forest classifier achieved the following performance on the held-out test set:</w:t>
      </w:r>
    </w:p>
    <w:p>
      <w:r>
        <w:rPr>
          <w:sz w:val="12"/>
          <w:szCs w:val="1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800"/>
        <w:gridCol w:w="1800"/>
      </w:tblGrid>
      <w:tr>
        <w:trPr>
          <w:tblHeader/>
        </w:trPr>
        <w:tc>
          <w:tcPr>
            <w:tcW w:type="dxa" w:w="24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Metric</w:t>
            </w:r>
          </w:p>
        </w:tc>
        <w:tc>
          <w:tcPr>
            <w:tcW w:type="dxa" w:w="16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Setosa</w:t>
            </w:r>
          </w:p>
        </w:tc>
        <w:tc>
          <w:tcPr>
            <w:tcW w:type="dxa" w:w="18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Versicolor</w:t>
            </w:r>
          </w:p>
        </w:tc>
        <w:tc>
          <w:tcPr>
            <w:tcW w:type="dxa" w:w="18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Virginica</w:t>
            </w:r>
          </w:p>
        </w:tc>
        <w:tc>
          <w:tcPr>
            <w:tcW w:type="dxa" w:w="1800"/>
            <w:tcBorders>
              <w:top w:val="single" w:color="111111" w:sz="1"/>
              <w:left w:val="single" w:color="111111" w:sz="1"/>
              <w:bottom w:val="single" w:color="111111" w:sz="1"/>
              <w:right w:val="single" w:color="111111" w:sz="1"/>
            </w:tcBorders>
            <w:shd w:fill="1A1A2E" w:val="clear"/>
            <w:tcMar>
              <w:top w:type="dxa" w:w="80"/>
              <w:left w:type="dxa" w:w="130"/>
              <w:bottom w:type="dxa" w:w="80"/>
              <w:right w:type="dxa" w:w="130"/>
            </w:tcMar>
          </w:tcPr>
          <w:p>
            <w:r>
              <w:rPr>
                <w:rFonts w:ascii="Times New Roman" w:cs="Times New Roman" w:eastAsia="Times New Roman" w:hAnsi="Times New Roman"/>
                <w:b/>
                <w:bCs/>
                <w:color w:val="FFFFFF"/>
                <w:sz w:val="18"/>
                <w:szCs w:val="18"/>
              </w:rPr>
              <w:t xml:space="preserve">Overall</w:t>
            </w:r>
          </w:p>
        </w:tc>
      </w:tr>
      <w:tr>
        <w:tc>
          <w:tcPr>
            <w:tcW w:type="dxa" w:w="2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Precision</w:t>
            </w:r>
          </w:p>
        </w:tc>
        <w:tc>
          <w:tcPr>
            <w:tcW w:type="dxa" w:w="16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0.82</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0.89</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0.90</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Recall</w:t>
            </w:r>
          </w:p>
        </w:tc>
        <w:tc>
          <w:tcPr>
            <w:tcW w:type="dxa" w:w="16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0.90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0.80</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0.90</w:t>
            </w:r>
          </w:p>
        </w:tc>
      </w:tr>
      <w:tr>
        <w:tc>
          <w:tcPr>
            <w:tcW w:type="dxa" w:w="2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F1-Score</w:t>
            </w:r>
          </w:p>
        </w:tc>
        <w:tc>
          <w:tcPr>
            <w:tcW w:type="dxa" w:w="16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1.00</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0.86</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0.84</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0.90</w:t>
            </w:r>
          </w:p>
        </w:tc>
      </w:tr>
      <w:tr>
        <w:tc>
          <w:tcPr>
            <w:tcW w:type="dxa" w:w="24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Test Accuracy</w:t>
            </w:r>
          </w:p>
        </w:tc>
        <w:tc>
          <w:tcPr>
            <w:tcW w:type="dxa" w:w="16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72"/>
              <w:left w:type="dxa" w:w="130"/>
              <w:bottom w:type="dxa" w:w="72"/>
              <w:right w:type="dxa" w:w="130"/>
            </w:tcMar>
          </w:tcPr>
          <w:p>
            <w:r>
              <w:rPr>
                <w:rFonts w:ascii="Times New Roman" w:cs="Times New Roman" w:eastAsia="Times New Roman" w:hAnsi="Times New Roman"/>
                <w:b/>
                <w:bCs/>
                <w:sz w:val="18"/>
                <w:szCs w:val="18"/>
              </w:rPr>
              <w:t xml:space="preserve">0.9000 (90.0%)</w:t>
            </w:r>
          </w:p>
        </w:tc>
      </w:tr>
      <w:tr>
        <w:tc>
          <w:tcPr>
            <w:tcW w:type="dxa" w:w="24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CV Accuracy (5-fold)</w:t>
            </w:r>
          </w:p>
        </w:tc>
        <w:tc>
          <w:tcPr>
            <w:tcW w:type="dxa" w:w="16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val="false"/>
                <w:bCs w:val="false"/>
                <w:sz w:val="18"/>
                <w:szCs w:val="18"/>
              </w:rPr>
              <w:t xml:space="preserve">—</w:t>
            </w:r>
          </w:p>
        </w:tc>
        <w:tc>
          <w:tcPr>
            <w:tcW w:type="dxa" w:w="1800"/>
            <w:tcBorders>
              <w:top w:val="single" w:color="CCCCCC" w:sz="1"/>
              <w:left w:val="single" w:color="CCCCCC" w:sz="1"/>
              <w:bottom w:val="single" w:color="CCCCCC" w:sz="1"/>
              <w:right w:val="single" w:color="CCCCCC" w:sz="1"/>
            </w:tcBorders>
            <w:shd w:fill="FAFAFA" w:val="clear"/>
            <w:tcMar>
              <w:top w:type="dxa" w:w="72"/>
              <w:left w:type="dxa" w:w="130"/>
              <w:bottom w:type="dxa" w:w="72"/>
              <w:right w:type="dxa" w:w="130"/>
            </w:tcMar>
          </w:tcPr>
          <w:p>
            <w:r>
              <w:rPr>
                <w:rFonts w:ascii="Times New Roman" w:cs="Times New Roman" w:eastAsia="Times New Roman" w:hAnsi="Times New Roman"/>
                <w:b/>
                <w:bCs/>
                <w:sz w:val="18"/>
                <w:szCs w:val="18"/>
              </w:rPr>
              <w:t xml:space="preserve">0.9667 ± 0.0211</w:t>
            </w:r>
          </w:p>
        </w:tc>
      </w:tr>
    </w:tbl>
    <w:p>
      <w:r>
        <w:rPr>
          <w:sz w:val="12"/>
          <w:szCs w:val="12"/>
        </w:rPr>
        <w:t xml:space="preserve"/>
      </w:r>
    </w:p>
    <w:p>
      <w:pPr>
        <w:spacing w:after="80" w:before="80"/>
      </w:pPr>
      <w:r>
        <w:rPr>
          <w:rFonts w:ascii="Times New Roman" w:cs="Times New Roman" w:eastAsia="Times New Roman" w:hAnsi="Times New Roman"/>
          <w:sz w:val="20"/>
          <w:szCs w:val="20"/>
        </w:rPr>
        <w:t xml:space="preserve">All 10 setosa test samples were classified correctly (Figure 2A). Three errors occurred: two versicolor samples were predicted as virginica and one virginica was predicted as versicolor. This pattern of confusion between the two non-setosa species is consistent with their overlapping petal distributions (Figure 3A).</w:t>
      </w:r>
    </w:p>
    <w:p>
      <w:r>
        <w:rPr>
          <w:sz w:val="12"/>
          <w:szCs w:val="12"/>
        </w:rPr>
        <w:t xml:space="preserve"/>
      </w:r>
    </w:p>
    <w:p>
      <w:pPr>
        <w:spacing w:after="80" w:before="80"/>
      </w:pPr>
      <w:r>
        <w:rPr>
          <w:rFonts w:ascii="Times New Roman" w:cs="Times New Roman" w:eastAsia="Times New Roman" w:hAnsi="Times New Roman"/>
          <w:sz w:val="20"/>
          <w:szCs w:val="20"/>
        </w:rPr>
        <w:t xml:space="preserve">Feature importance analysis (Figure 2B) confirmed that petal length (importance ≈ 0.44) and petal width (importance ≈ 0.42) together account for over 85% of the model's predictive power. Sepal length and sepal width contribute less than 15% combined.</w:t>
      </w:r>
    </w:p>
    <w:p>
      <w:r>
        <w:rPr>
          <w:sz w:val="12"/>
          <w:szCs w:val="12"/>
        </w:rPr>
        <w:t xml:space="preserve"/>
      </w:r>
    </w:p>
    <w:p>
      <w:pPr>
        <w:spacing w:after="80" w:before="80"/>
      </w:pPr>
      <w:r>
        <w:rPr>
          <w:rFonts w:ascii="Times New Roman" w:cs="Times New Roman" w:eastAsia="Times New Roman" w:hAnsi="Times New Roman"/>
          <w:sz w:val="20"/>
          <w:szCs w:val="20"/>
        </w:rPr>
        <w:t xml:space="preserve">The cross-validation results (Figure 3B) show consistently high accuracy across all five folds (range: 0.933 – 1.000), confirming that the model generalises well and is not overfitting to the specific training split used for the primary evaluation.</w:t>
      </w:r>
    </w:p>
    <w:p>
      <w:r>
        <w:rPr>
          <w:sz w:val="12"/>
          <w:szCs w:val="12"/>
        </w:rPr>
        <w:t xml:space="preserve"/>
      </w:r>
    </w:p>
    <w:p>
      <w:pPr>
        <w:pStyle w:val="Heading1"/>
        <w:spacing w:after="120" w:before="360"/>
      </w:pPr>
      <w:r>
        <w:rPr>
          <w:rFonts w:ascii="Times New Roman" w:cs="Times New Roman" w:eastAsia="Times New Roman" w:hAnsi="Times New Roman"/>
          <w:b/>
          <w:bCs/>
          <w:sz w:val="28"/>
          <w:szCs w:val="28"/>
        </w:rPr>
        <w:t xml:space="preserve">5. Interpretation for a Non-Technical Audience</w:t>
      </w:r>
    </w:p>
    <w:p>
      <w:pPr>
        <w:spacing w:after="80" w:before="80"/>
      </w:pPr>
      <w:r>
        <w:rPr>
          <w:rFonts w:ascii="Times New Roman" w:cs="Times New Roman" w:eastAsia="Times New Roman" w:hAnsi="Times New Roman"/>
          <w:sz w:val="20"/>
          <w:szCs w:val="20"/>
        </w:rPr>
        <w:t xml:space="preserve">In plain language: the model learned to distinguish iris flower species from measurements of their petals and sepals with 90% accuracy on new flowers it had never seen. If you showed this model 100 iris flowers, it would correctly identify the species of 90 of them.</w:t>
      </w:r>
    </w:p>
    <w:p>
      <w:r>
        <w:rPr>
          <w:sz w:val="12"/>
          <w:szCs w:val="12"/>
        </w:rPr>
        <w:t xml:space="preserve"/>
      </w:r>
    </w:p>
    <w:p>
      <w:pPr>
        <w:spacing w:after="80" w:before="80"/>
      </w:pPr>
      <w:r>
        <w:rPr>
          <w:rFonts w:ascii="Times New Roman" w:cs="Times New Roman" w:eastAsia="Times New Roman" w:hAnsi="Times New Roman"/>
          <w:sz w:val="20"/>
          <w:szCs w:val="20"/>
        </w:rPr>
        <w:t xml:space="preserve">The most important finding is that petal size — both length and width — is far more useful for species identification than sepal size. Setosa flowers are easy to identify because their petals are distinctly smaller than the other two species. Versicolor and Virginica are more similar, which is why the model occasionally confuses them.</w:t>
      </w:r>
    </w:p>
    <w:p>
      <w:r>
        <w:rPr>
          <w:sz w:val="12"/>
          <w:szCs w:val="12"/>
        </w:rPr>
        <w:t xml:space="preserve"/>
      </w:r>
    </w:p>
    <w:p>
      <w:pPr>
        <w:spacing w:after="80" w:before="80"/>
      </w:pPr>
      <w:r>
        <w:rPr>
          <w:rFonts w:ascii="Times New Roman" w:cs="Times New Roman" w:eastAsia="Times New Roman" w:hAnsi="Times New Roman"/>
          <w:sz w:val="20"/>
          <w:szCs w:val="20"/>
        </w:rPr>
        <w:t xml:space="preserve">The cross-validation result of 96.7% across five independent tests is more reliable than the single test result of 90%, suggesting the model's true performance is closer to the higher figure. The gap between 90% and 96.7% reflects the natural variability when working with only 30 test samples.</w:t>
      </w:r>
    </w:p>
    <w:p>
      <w:r>
        <w:rPr>
          <w:sz w:val="12"/>
          <w:szCs w:val="12"/>
        </w:rPr>
        <w:t xml:space="preserve"/>
      </w:r>
    </w:p>
    <w:p>
      <w:r>
        <w:br w:type="page"/>
      </w:r>
    </w:p>
    <w:p>
      <w:pPr>
        <w:pStyle w:val="Heading1"/>
        <w:spacing w:after="120" w:before="360"/>
      </w:pPr>
      <w:r>
        <w:rPr>
          <w:rFonts w:ascii="Times New Roman" w:cs="Times New Roman" w:eastAsia="Times New Roman" w:hAnsi="Times New Roman"/>
          <w:b/>
          <w:bCs/>
          <w:sz w:val="28"/>
          <w:szCs w:val="28"/>
        </w:rPr>
        <w:t xml:space="preserve">6. Limitations and Potential Bias</w:t>
      </w:r>
    </w:p>
    <w:p>
      <w:pPr>
        <w:pStyle w:val="Heading2"/>
        <w:spacing w:after="80" w:before="220"/>
      </w:pPr>
      <w:r>
        <w:rPr>
          <w:rFonts w:ascii="Times New Roman" w:cs="Times New Roman" w:eastAsia="Times New Roman" w:hAnsi="Times New Roman"/>
          <w:b/>
          <w:bCs/>
          <w:sz w:val="22"/>
          <w:szCs w:val="22"/>
        </w:rPr>
        <w:t xml:space="preserve">6.1 Dataset Limitations</w:t>
      </w:r>
    </w:p>
    <w:p>
      <w:pPr>
        <w:spacing w:after="80" w:before="80"/>
      </w:pPr>
      <w:r>
        <w:rPr>
          <w:rFonts w:ascii="Times New Roman" w:cs="Times New Roman" w:eastAsia="Times New Roman" w:hAnsi="Times New Roman"/>
          <w:sz w:val="20"/>
          <w:szCs w:val="20"/>
        </w:rPr>
        <w:t xml:space="preserve">The dataset contains only 150 samples from a single geographic location collected in 1936. It is one of the most studied datasets in machine learning, which means that published benchmark results provide unreliable guidance — many reported accuracies reflect overfitting to this specific dataset across the literature rather than genuine generalisation (Breiman, 2001).</w:t>
      </w:r>
    </w:p>
    <w:p>
      <w:r>
        <w:rPr>
          <w:sz w:val="12"/>
          <w:szCs w:val="12"/>
        </w:rPr>
        <w:t xml:space="preserve"/>
      </w:r>
    </w:p>
    <w:p>
      <w:pPr>
        <w:spacing w:after="80" w:before="80"/>
      </w:pPr>
      <w:r>
        <w:rPr>
          <w:rFonts w:ascii="Times New Roman" w:cs="Times New Roman" w:eastAsia="Times New Roman" w:hAnsi="Times New Roman"/>
          <w:sz w:val="20"/>
          <w:szCs w:val="20"/>
        </w:rPr>
        <w:t xml:space="preserve">The small test set (n=30) means that each misclassification changes accuracy by 3.3 percentage points. The difference between the test accuracy (90%) and cross-validated accuracy (96.7%) reflects this variance rather than genuine model instability.</w:t>
      </w:r>
    </w:p>
    <w:p>
      <w:r>
        <w:rPr>
          <w:sz w:val="12"/>
          <w:szCs w:val="12"/>
        </w:rPr>
        <w:t xml:space="preserve"/>
      </w:r>
    </w:p>
    <w:p>
      <w:pPr>
        <w:pStyle w:val="Heading2"/>
        <w:spacing w:after="80" w:before="220"/>
      </w:pPr>
      <w:r>
        <w:rPr>
          <w:rFonts w:ascii="Times New Roman" w:cs="Times New Roman" w:eastAsia="Times New Roman" w:hAnsi="Times New Roman"/>
          <w:b/>
          <w:bCs/>
          <w:sz w:val="22"/>
          <w:szCs w:val="22"/>
        </w:rPr>
        <w:t xml:space="preserve">6.2 Potential Sources of Bias</w:t>
      </w:r>
    </w:p>
    <w:p>
      <w:pPr>
        <w:spacing w:after="80" w:before="80"/>
      </w:pPr>
      <w:r>
        <w:rPr>
          <w:rFonts w:ascii="Times New Roman" w:cs="Times New Roman" w:eastAsia="Times New Roman" w:hAnsi="Times New Roman"/>
          <w:sz w:val="20"/>
          <w:szCs w:val="20"/>
        </w:rPr>
        <w:t xml:space="preserve">The perfectly balanced class distribution (50 per species) is an idealised training condition that rarely holds in real-world species classification problems. If deployed in a setting where one species is far more common than others, the model's precision and recall would differ substantially from the results reported here.</w:t>
      </w:r>
    </w:p>
    <w:p>
      <w:r>
        <w:rPr>
          <w:sz w:val="12"/>
          <w:szCs w:val="12"/>
        </w:rPr>
        <w:t xml:space="preserve"/>
      </w:r>
    </w:p>
    <w:p>
      <w:pPr>
        <w:spacing w:after="80" w:before="80"/>
      </w:pPr>
      <w:r>
        <w:rPr>
          <w:rFonts w:ascii="Times New Roman" w:cs="Times New Roman" w:eastAsia="Times New Roman" w:hAnsi="Times New Roman"/>
          <w:sz w:val="20"/>
          <w:szCs w:val="20"/>
        </w:rPr>
        <w:t xml:space="preserve">Feature importance scores from Random Forest reflect the model's internal decision structure, not the causal relationships between morphology and species identity. The finding that petal length is the most 'important' feature does not mean that petal length causally determines species — it means that petal length is the measurement that most reliably splits the training data into correct groups.</w:t>
      </w:r>
    </w:p>
    <w:p>
      <w:r>
        <w:rPr>
          <w:sz w:val="12"/>
          <w:szCs w:val="12"/>
        </w:rPr>
        <w:t xml:space="preserve"/>
      </w:r>
    </w:p>
    <w:p>
      <w:pPr>
        <w:pStyle w:val="Heading1"/>
        <w:spacing w:after="120" w:before="360"/>
      </w:pPr>
      <w:r>
        <w:rPr>
          <w:rFonts w:ascii="Times New Roman" w:cs="Times New Roman" w:eastAsia="Times New Roman" w:hAnsi="Times New Roman"/>
          <w:b/>
          <w:bCs/>
          <w:sz w:val="28"/>
          <w:szCs w:val="28"/>
        </w:rPr>
        <w:t xml:space="preserve">References</w:t>
      </w:r>
    </w:p>
    <w:p>
      <w:pPr>
        <w:spacing w:after="80" w:before="80"/>
      </w:pPr>
      <w:r>
        <w:rPr>
          <w:rFonts w:ascii="Times New Roman" w:cs="Times New Roman" w:eastAsia="Times New Roman" w:hAnsi="Times New Roman"/>
          <w:sz w:val="20"/>
          <w:szCs w:val="20"/>
        </w:rPr>
        <w:t xml:space="preserve">Breiman, L. (2001). Random forests. Machine Learning, 45(1), 5–32. https://doi.org/10.1023/A:1010933404324</w:t>
      </w:r>
    </w:p>
    <w:p>
      <w:r>
        <w:rPr>
          <w:sz w:val="12"/>
          <w:szCs w:val="12"/>
        </w:rPr>
        <w:t xml:space="preserve"/>
      </w:r>
    </w:p>
    <w:p>
      <w:pPr>
        <w:spacing w:after="80" w:before="80"/>
      </w:pPr>
      <w:r>
        <w:rPr>
          <w:rFonts w:ascii="Times New Roman" w:cs="Times New Roman" w:eastAsia="Times New Roman" w:hAnsi="Times New Roman"/>
          <w:sz w:val="20"/>
          <w:szCs w:val="20"/>
        </w:rPr>
        <w:t xml:space="preserve">Fisher, R. A. (1936). The use of multiple measurements in taxonomic problems. Annals of Eugenics, 7(2), 179–188. https://doi.org/10.1111/j.1469-1809.1936.tb02137.x</w:t>
      </w:r>
    </w:p>
    <w:p>
      <w:r>
        <w:rPr>
          <w:sz w:val="12"/>
          <w:szCs w:val="12"/>
        </w:rPr>
        <w:t xml:space="preserve"/>
      </w:r>
    </w:p>
    <w:p>
      <w:pPr>
        <w:spacing w:after="80" w:before="80"/>
      </w:pPr>
      <w:r>
        <w:rPr>
          <w:rFonts w:ascii="Times New Roman" w:cs="Times New Roman" w:eastAsia="Times New Roman" w:hAnsi="Times New Roman"/>
          <w:sz w:val="20"/>
          <w:szCs w:val="20"/>
        </w:rPr>
        <w:t xml:space="preserve">Pedregosa, F., Varoquaux, G., Gramfort, A., Michel, V., Thirion, B., Grisel, O., ... &amp; Duchesnay, E. (2011). Scikit-learn: Machine learning in Python. Journal of Machine Learning Research, 12, 2825–2830. https://jmlr.org/papers/v12/pedregosa11a.html</w:t>
      </w:r>
    </w:p>
    <w:p>
      <w:r>
        <w:rPr>
          <w:sz w:val="12"/>
          <w:szCs w:val="12"/>
        </w:rPr>
        <w:t xml:space="preserve"/>
      </w:r>
    </w:p>
    <w:p>
      <w:pPr>
        <w:spacing w:after="80" w:before="80"/>
      </w:pPr>
      <w:r>
        <w:rPr>
          <w:rFonts w:ascii="Times New Roman" w:cs="Times New Roman" w:eastAsia="Times New Roman" w:hAnsi="Times New Roman"/>
          <w:sz w:val="20"/>
          <w:szCs w:val="20"/>
        </w:rPr>
        <w:t xml:space="preserve">UCI Machine Learning Repository. (1988). Iris Data Set. University of California, Irvine. https://archive.ics.uci.edu/ml/datasets/iris</w:t>
      </w:r>
    </w:p>
    <w:p>
      <w:r>
        <w:rPr>
          <w:sz w:val="12"/>
          <w:szCs w:val="12"/>
        </w:rPr>
        <w:t xml:space="preserve"/>
      </w:r>
    </w:p>
    <w:p>
      <w:r>
        <w:rPr>
          <w:sz w:val="12"/>
          <w:szCs w:val="12"/>
        </w:rPr>
        <w:t xml:space="preserve"/>
      </w:r>
    </w:p>
    <w:p>
      <w:pPr>
        <w:pBdr>
          <w:top w:val="single" w:color="000000" w:sz="2" w:space="8"/>
        </w:pBdr>
        <w:spacing w:after="40" w:before="240"/>
        <w:jc w:val="center"/>
      </w:pPr>
      <w:r>
        <w:rPr>
          <w:rFonts w:ascii="Times New Roman" w:cs="Times New Roman" w:eastAsia="Times New Roman" w:hAnsi="Times New Roman"/>
          <w:color w:val="777777"/>
          <w:sz w:val="16"/>
          <w:szCs w:val="16"/>
        </w:rPr>
        <w:t xml:space="preserve">Udacity MSc Artificial Intelligence · Machine Learning Foundations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2026-03-22T13:42:00.895Z</dcterms:created>
  <dcterms:modified xsi:type="dcterms:W3CDTF">2026-03-22T13:42:00.896Z</dcterms:modified>
</cp:coreProperties>
</file>

<file path=docProps/custom.xml><?xml version="1.0" encoding="utf-8"?>
<Properties xmlns="http://schemas.openxmlformats.org/officeDocument/2006/custom-properties" xmlns:vt="http://schemas.openxmlformats.org/officeDocument/2006/docPropsVTypes"/>
</file>