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
          <w:szCs w:val="12"/>
        </w:rPr>
        <w:t xml:space="preserve"/>
      </w:r>
    </w:p>
    <w:p>
      <w:r>
        <w:rPr>
          <w:sz w:val="12"/>
          <w:szCs w:val="12"/>
        </w:rPr>
        <w:t xml:space="preserve"/>
      </w:r>
    </w:p>
    <w:p>
      <w:pPr>
        <w:spacing w:after="60" w:before="0"/>
        <w:jc w:val="center"/>
      </w:pPr>
      <w:r>
        <w:rPr>
          <w:rFonts w:ascii="Arial" w:cs="Arial" w:eastAsia="Arial" w:hAnsi="Arial"/>
          <w:b/>
          <w:bCs/>
          <w:color w:val="1A3A5A"/>
          <w:sz w:val="48"/>
          <w:szCs w:val="48"/>
        </w:rPr>
        <w:t xml:space="preserve">Module Summary Report</w:t>
      </w:r>
    </w:p>
    <w:p>
      <w:pPr>
        <w:spacing w:after="40" w:before="0"/>
        <w:jc w:val="center"/>
      </w:pPr>
      <w:r>
        <w:rPr>
          <w:rFonts w:ascii="Arial" w:cs="Arial" w:eastAsia="Arial" w:hAnsi="Arial"/>
          <w:b/>
          <w:bCs/>
          <w:color w:val="2C5F8A"/>
          <w:sz w:val="24"/>
          <w:szCs w:val="24"/>
        </w:rPr>
        <w:t xml:space="preserve">Wine Quality Data Workflow: Exploratory Analysis of Physicochemical Properties</w:t>
      </w:r>
    </w:p>
    <w:p>
      <w:pPr>
        <w:pBdr>
          <w:bottom w:val="single" w:color="2C5F8A" w:sz="4" w:space="1"/>
        </w:pBdr>
        <w:spacing w:after="300" w:before="0"/>
        <w:jc w:val="center"/>
      </w:pPr>
      <w:r>
        <w:rPr>
          <w:rFonts w:ascii="Arial" w:cs="Arial" w:eastAsia="Arial" w:hAnsi="Arial"/>
          <w:color w:val="777777"/>
          <w:sz w:val="18"/>
          <w:szCs w:val="18"/>
        </w:rPr>
        <w:t xml:space="preserve">Udacity MSc Artificial Intelligence · AI Programming Foundations Project · March 2026</w:t>
      </w:r>
    </w:p>
    <w:p>
      <w:pPr>
        <w:spacing w:after="300" w:before="80"/>
        <w:jc w:val="center"/>
      </w:pPr>
      <w:r>
        <w:rPr>
          <w:rFonts w:ascii="Arial" w:cs="Arial" w:eastAsia="Arial" w:hAnsi="Arial"/>
          <w:color w:val="333333"/>
          <w:sz w:val="20"/>
          <w:szCs w:val="20"/>
        </w:rPr>
        <w:t xml:space="preserve">Prof. Dr. Sc., Dr. Qeis Kamran · CEREBRA Laboratories AG · OTH Amberg-Weiden</w:t>
      </w:r>
    </w:p>
    <w:p>
      <w:r>
        <w:br w:type="page"/>
      </w:r>
    </w:p>
    <w:p>
      <w:pPr>
        <w:pStyle w:val="Heading1"/>
        <w:spacing w:after="110" w:before="340"/>
      </w:pPr>
      <w:r>
        <w:rPr>
          <w:rFonts w:ascii="Arial" w:cs="Arial" w:eastAsia="Arial" w:hAnsi="Arial"/>
          <w:b/>
          <w:bCs/>
          <w:color w:val="1A3A5A"/>
          <w:sz w:val="28"/>
          <w:szCs w:val="28"/>
        </w:rPr>
        <w:t xml:space="preserve">1. Overview</w:t>
      </w:r>
    </w:p>
    <w:p>
      <w:pPr>
        <w:spacing w:after="55" w:before="55"/>
      </w:pPr>
      <w:r>
        <w:rPr>
          <w:rFonts w:ascii="Arial" w:cs="Arial" w:eastAsia="Arial" w:hAnsi="Arial"/>
          <w:sz w:val="20"/>
          <w:szCs w:val="20"/>
        </w:rPr>
        <w:t xml:space="preserve">This report documents a complete, reproducible data workflow applied to the UCI Red Wine Quality dataset (Cortez et al., 2009). The project loads, cleans, explores, and visualizes physicochemical measurements of 400 red wine samples to identify patterns that distinguish high-quality from low-quality wines, as rated by professional sommeliers on a scale of 3 to 8.</w:t>
      </w:r>
    </w:p>
    <w:p>
      <w:r>
        <w:rPr>
          <w:sz w:val="12"/>
          <w:szCs w:val="12"/>
        </w:rPr>
        <w:t xml:space="preserve"/>
      </w:r>
    </w:p>
    <w:p>
      <w:pPr>
        <w:spacing w:after="55" w:before="55"/>
      </w:pPr>
      <w:r>
        <w:rPr>
          <w:rFonts w:ascii="Arial" w:cs="Arial" w:eastAsia="Arial" w:hAnsi="Arial"/>
          <w:sz w:val="20"/>
          <w:szCs w:val="20"/>
        </w:rPr>
        <w:t xml:space="preserve">The workflow was implemented in Python using NumPy, Pandas, Matplotlib, and Seaborn, following reproducibility best practices documented by Millman &amp; Pérez (2014). All code is modular, documented with docstrings, and version-controlled on GitHub with multiple commits and a development branch.</w:t>
      </w:r>
    </w:p>
    <w:p>
      <w:r>
        <w:rPr>
          <w:sz w:val="12"/>
          <w:szCs w:val="12"/>
        </w:rPr>
        <w:t xml:space="preserve"/>
      </w:r>
    </w:p>
    <w:p>
      <w:pPr>
        <w:pStyle w:val="Heading1"/>
        <w:spacing w:after="110" w:before="340"/>
      </w:pPr>
      <w:r>
        <w:rPr>
          <w:rFonts w:ascii="Arial" w:cs="Arial" w:eastAsia="Arial" w:hAnsi="Arial"/>
          <w:b/>
          <w:bCs/>
          <w:color w:val="1A3A5A"/>
          <w:sz w:val="28"/>
          <w:szCs w:val="28"/>
        </w:rPr>
        <w:t xml:space="preserve">2. Dataset Description</w:t>
      </w:r>
    </w:p>
    <w:p>
      <w:pPr>
        <w:spacing w:after="55" w:before="55"/>
      </w:pPr>
      <w:r>
        <w:rPr>
          <w:rFonts w:ascii="Arial" w:cs="Arial" w:eastAsia="Arial" w:hAnsi="Arial"/>
          <w:sz w:val="20"/>
          <w:szCs w:val="20"/>
        </w:rPr>
        <w:t xml:space="preserve">The UCI Red Wine Quality dataset (https://archive.ics.uci.edu/ml/datasets/wine+quality) contains 400 observations of Vinho Verde red wine samples from northern Portugal. Each row represents one wine sample described by 11 physicochemical input variables and one output variable (quality score).</w:t>
      </w:r>
    </w:p>
    <w:p>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00"/>
        <w:gridCol w:w="1800"/>
      </w:tblGrid>
      <w:tr>
        <w:trPr>
          <w:tblHeader/>
        </w:trPr>
        <w:tc>
          <w:tcPr>
            <w:tcW w:type="dxa" w:w="22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Variable</w:t>
            </w:r>
          </w:p>
        </w:tc>
        <w:tc>
          <w:tcPr>
            <w:tcW w:type="dxa" w:w="12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Type</w:t>
            </w:r>
          </w:p>
        </w:tc>
        <w:tc>
          <w:tcPr>
            <w:tcW w:type="dxa" w:w="38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Description</w:t>
            </w:r>
          </w:p>
        </w:tc>
        <w:tc>
          <w:tcPr>
            <w:tcW w:type="dxa" w:w="18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Range (approx.)</w:t>
            </w:r>
          </w:p>
        </w:tc>
      </w:tr>
      <w:tr>
        <w:tc>
          <w:tcPr>
            <w:tcW w:type="dxa" w:w="2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fixed acidity</w:t>
            </w:r>
          </w:p>
        </w:tc>
        <w:tc>
          <w:tcPr>
            <w:tcW w:type="dxa" w:w="1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Input</w:t>
            </w:r>
          </w:p>
        </w:tc>
        <w:tc>
          <w:tcPr>
            <w:tcW w:type="dxa" w:w="38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Tartaric acid concentration (g/dm³)</w:t>
            </w:r>
          </w:p>
        </w:tc>
        <w:tc>
          <w:tcPr>
            <w:tcW w:type="dxa" w:w="18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4.6 – 15.9</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volatile acidity</w:t>
            </w:r>
          </w:p>
        </w:tc>
        <w:tc>
          <w:tcPr>
            <w:tcW w:type="dxa" w:w="1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Input</w:t>
            </w:r>
          </w:p>
        </w:tc>
        <w:tc>
          <w:tcPr>
            <w:tcW w:type="dxa" w:w="3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Acetic acid concentration (g/dm³) — vinegar smell at high levels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0.12 – 1.58</w:t>
            </w:r>
          </w:p>
        </w:tc>
      </w:tr>
      <w:tr>
        <w:tc>
          <w:tcPr>
            <w:tcW w:type="dxa" w:w="2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citric acid</w:t>
            </w:r>
          </w:p>
        </w:tc>
        <w:tc>
          <w:tcPr>
            <w:tcW w:type="dxa" w:w="1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Input</w:t>
            </w:r>
          </w:p>
        </w:tc>
        <w:tc>
          <w:tcPr>
            <w:tcW w:type="dxa" w:w="38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Adds freshness and flavour (g/dm³)</w:t>
            </w:r>
          </w:p>
        </w:tc>
        <w:tc>
          <w:tcPr>
            <w:tcW w:type="dxa" w:w="18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alcohol</w:t>
            </w:r>
          </w:p>
        </w:tc>
        <w:tc>
          <w:tcPr>
            <w:tcW w:type="dxa" w:w="1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Input</w:t>
            </w:r>
          </w:p>
        </w:tc>
        <w:tc>
          <w:tcPr>
            <w:tcW w:type="dxa" w:w="3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Alcohol content (% by volume)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8.4 – 14.9</w:t>
            </w:r>
          </w:p>
        </w:tc>
      </w:tr>
      <w:tr>
        <w:tc>
          <w:tcPr>
            <w:tcW w:type="dxa" w:w="2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sulphates</w:t>
            </w:r>
          </w:p>
        </w:tc>
        <w:tc>
          <w:tcPr>
            <w:tcW w:type="dxa" w:w="1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Input</w:t>
            </w:r>
          </w:p>
        </w:tc>
        <w:tc>
          <w:tcPr>
            <w:tcW w:type="dxa" w:w="38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Antimicrobial/antioxidant additive (g/dm³)</w:t>
            </w:r>
          </w:p>
        </w:tc>
        <w:tc>
          <w:tcPr>
            <w:tcW w:type="dxa" w:w="18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0.33 – 2.0</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quality</w:t>
            </w:r>
          </w:p>
        </w:tc>
        <w:tc>
          <w:tcPr>
            <w:tcW w:type="dxa" w:w="1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Output</w:t>
            </w:r>
          </w:p>
        </w:tc>
        <w:tc>
          <w:tcPr>
            <w:tcW w:type="dxa" w:w="3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Sommelier rating (median of ≥3 evaluations)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3 – 8</w:t>
            </w:r>
          </w:p>
        </w:tc>
      </w:tr>
    </w:tbl>
    <w:p>
      <w:r>
        <w:rPr>
          <w:sz w:val="12"/>
          <w:szCs w:val="12"/>
        </w:rPr>
        <w:t xml:space="preserve"/>
      </w:r>
    </w:p>
    <w:p>
      <w:pPr>
        <w:spacing w:after="55" w:before="55"/>
      </w:pPr>
      <w:r>
        <w:rPr>
          <w:rFonts w:ascii="Arial" w:cs="Arial" w:eastAsia="Arial" w:hAnsi="Arial"/>
          <w:sz w:val="20"/>
          <w:szCs w:val="20"/>
        </w:rPr>
        <w:t xml:space="preserve">The dataset has no missing values. The quality distribution is skewed toward scores 5 and 6 (approximately 82% of samples), with very few wines receiving extreme scores (3, 4, or 8). This class imbalance is a key analytical finding with implications for future machine learning applications.</w:t>
      </w:r>
    </w:p>
    <w:p>
      <w:r>
        <w:rPr>
          <w:sz w:val="12"/>
          <w:szCs w:val="12"/>
        </w:rPr>
        <w:t xml:space="preserve"/>
      </w:r>
    </w:p>
    <w:p>
      <w:pPr>
        <w:pStyle w:val="Heading1"/>
        <w:spacing w:after="110" w:before="340"/>
      </w:pPr>
      <w:r>
        <w:rPr>
          <w:rFonts w:ascii="Arial" w:cs="Arial" w:eastAsia="Arial" w:hAnsi="Arial"/>
          <w:b/>
          <w:bCs/>
          <w:color w:val="1A3A5A"/>
          <w:sz w:val="28"/>
          <w:szCs w:val="28"/>
        </w:rPr>
        <w:t xml:space="preserve">3. Workflow Description</w:t>
      </w:r>
    </w:p>
    <w:p>
      <w:pPr>
        <w:spacing w:after="55" w:before="55"/>
      </w:pPr>
      <w:r>
        <w:rPr>
          <w:rFonts w:ascii="Arial" w:cs="Arial" w:eastAsia="Arial" w:hAnsi="Arial"/>
          <w:sz w:val="20"/>
          <w:szCs w:val="20"/>
        </w:rPr>
        <w:t xml:space="preserve">The workflow follows five sequential stages, consistent with reproducible data science principles (Millman &amp; Pérez, 2014):</w:t>
      </w:r>
    </w:p>
    <w:p>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Stage</w:t>
            </w:r>
          </w:p>
        </w:tc>
        <w:tc>
          <w:tcPr>
            <w:tcW w:type="dxa" w:w="22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Tool</w:t>
            </w:r>
          </w:p>
        </w:tc>
        <w:tc>
          <w:tcPr>
            <w:tcW w:type="dxa" w:w="5200"/>
            <w:tcBorders>
              <w:top w:val="single" w:color="2C5F8A" w:sz="1"/>
              <w:left w:val="single" w:color="2C5F8A" w:sz="1"/>
              <w:bottom w:val="single" w:color="2C5F8A" w:sz="1"/>
              <w:right w:val="single" w:color="2C5F8A" w:sz="1"/>
            </w:tcBorders>
            <w:shd w:fill="1A3A5A" w:val="clear"/>
            <w:tcMar>
              <w:top w:type="dxa" w:w="80"/>
              <w:left w:type="dxa" w:w="130"/>
              <w:bottom w:type="dxa" w:w="80"/>
              <w:right w:type="dxa" w:w="130"/>
            </w:tcMar>
          </w:tcPr>
          <w:p>
            <w:r>
              <w:rPr>
                <w:rFonts w:ascii="Arial" w:cs="Arial" w:eastAsia="Arial" w:hAnsi="Arial"/>
                <w:b/>
                <w:bCs/>
                <w:color w:val="FFFFFF"/>
                <w:sz w:val="18"/>
                <w:szCs w:val="18"/>
              </w:rPr>
              <w:t xml:space="preserve">Key Action</w:t>
            </w:r>
          </w:p>
        </w:tc>
      </w:tr>
      <w:tr>
        <w:tc>
          <w:tcPr>
            <w:tcW w:type="dxa" w:w="16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1. Ingestion</w:t>
            </w:r>
          </w:p>
        </w:tc>
        <w:tc>
          <w:tcPr>
            <w:tcW w:type="dxa" w:w="2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Pandas read_csv()</w:t>
            </w:r>
          </w:p>
        </w:tc>
        <w:tc>
          <w:tcPr>
            <w:tcW w:type="dxa" w:w="5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Load wine.csv with semicolon separator; display first rows</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2. Cleaning</w:t>
            </w:r>
          </w:p>
        </w:tc>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remove_duplicates(), handle_outliers()</w:t>
            </w:r>
          </w:p>
        </w:tc>
        <w:tc>
          <w:tcPr>
            <w:tcW w:type="dxa" w:w="5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Remove duplicate rows; clip z-score outliers (threshold=3.0)</w:t>
            </w:r>
          </w:p>
        </w:tc>
      </w:tr>
      <w:tr>
        <w:tc>
          <w:tcPr>
            <w:tcW w:type="dxa" w:w="16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3. Exploratory Analysis</w:t>
            </w:r>
          </w:p>
        </w:tc>
        <w:tc>
          <w:tcPr>
            <w:tcW w:type="dxa" w:w="2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explore_wine_quality()</w:t>
            </w:r>
          </w:p>
        </w:tc>
        <w:tc>
          <w:tcPr>
            <w:tcW w:type="dxa" w:w="5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Summary statistics; quality distribution; correlation analysis; group comparison</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4. Visualizations</w:t>
            </w:r>
          </w:p>
        </w:tc>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Matplotlib + Seaborn</w:t>
            </w:r>
          </w:p>
        </w:tc>
        <w:tc>
          <w:tcPr>
            <w:tcW w:type="dxa" w:w="5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Arial" w:cs="Arial" w:eastAsia="Arial" w:hAnsi="Arial"/>
                <w:b w:val="false"/>
                <w:bCs w:val="false"/>
                <w:color w:val="111111"/>
                <w:sz w:val="18"/>
                <w:szCs w:val="18"/>
              </w:rPr>
              <w:t xml:space="preserve">Three labeled figures (see Section 5)</w:t>
            </w:r>
          </w:p>
        </w:tc>
      </w:tr>
      <w:tr>
        <w:tc>
          <w:tcPr>
            <w:tcW w:type="dxa" w:w="16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5. Summary</w:t>
            </w:r>
          </w:p>
        </w:tc>
        <w:tc>
          <w:tcPr>
            <w:tcW w:type="dxa" w:w="2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Markdown</w:t>
            </w:r>
          </w:p>
        </w:tc>
        <w:tc>
          <w:tcPr>
            <w:tcW w:type="dxa" w:w="5200"/>
            <w:tcBorders>
              <w:top w:val="single" w:color="CCCCCC" w:sz="1"/>
              <w:left w:val="single" w:color="CCCCCC" w:sz="1"/>
              <w:bottom w:val="single" w:color="CCCCCC" w:sz="1"/>
              <w:right w:val="single" w:color="CCCCCC" w:sz="1"/>
            </w:tcBorders>
            <w:shd w:fill="F5F8FC" w:val="clear"/>
            <w:tcMar>
              <w:top w:type="dxa" w:w="72"/>
              <w:left w:type="dxa" w:w="130"/>
              <w:bottom w:type="dxa" w:w="72"/>
              <w:right w:type="dxa" w:w="130"/>
            </w:tcMar>
          </w:tcPr>
          <w:p>
            <w:r>
              <w:rPr>
                <w:rFonts w:ascii="Arial" w:cs="Arial" w:eastAsia="Arial" w:hAnsi="Arial"/>
                <w:b w:val="false"/>
                <w:bCs w:val="false"/>
                <w:color w:val="111111"/>
                <w:sz w:val="18"/>
                <w:szCs w:val="18"/>
              </w:rPr>
              <w:t xml:space="preserve">Interpretation of findings, limitations, and assumptions</w:t>
            </w:r>
          </w:p>
        </w:tc>
      </w:tr>
    </w:tbl>
    <w:p>
      <w:r>
        <w:rPr>
          <w:sz w:val="12"/>
          <w:szCs w:val="12"/>
        </w:rPr>
        <w:t xml:space="preserve"/>
      </w:r>
    </w:p>
    <w:p>
      <w:pPr>
        <w:pStyle w:val="Heading1"/>
        <w:spacing w:after="110" w:before="340"/>
      </w:pPr>
      <w:r>
        <w:rPr>
          <w:rFonts w:ascii="Arial" w:cs="Arial" w:eastAsia="Arial" w:hAnsi="Arial"/>
          <w:b/>
          <w:bCs/>
          <w:color w:val="1A3A5A"/>
          <w:sz w:val="28"/>
          <w:szCs w:val="28"/>
        </w:rPr>
        <w:t xml:space="preserve">4. Key Decisions and Assumptions</w:t>
      </w:r>
    </w:p>
    <w:p>
      <w:pPr>
        <w:pStyle w:val="Heading2"/>
        <w:spacing w:after="80" w:before="220"/>
      </w:pPr>
      <w:r>
        <w:rPr>
          <w:rFonts w:ascii="Arial" w:cs="Arial" w:eastAsia="Arial" w:hAnsi="Arial"/>
          <w:b/>
          <w:bCs/>
          <w:color w:val="2C5F8A"/>
          <w:sz w:val="22"/>
          <w:szCs w:val="22"/>
        </w:rPr>
        <w:t xml:space="preserve">4.1 Cleaning Choices</w:t>
      </w:r>
    </w:p>
    <w:p>
      <w:pPr>
        <w:spacing w:after="55" w:before="55"/>
      </w:pPr>
      <w:r>
        <w:rPr>
          <w:rFonts w:ascii="Arial" w:cs="Arial" w:eastAsia="Arial" w:hAnsi="Arial"/>
          <w:sz w:val="20"/>
          <w:szCs w:val="20"/>
        </w:rPr>
        <w:t xml:space="preserve">Two cleaning functions were implemented:</w:t>
      </w:r>
    </w:p>
    <w:p>
      <w:pPr>
        <w:pStyle w:val="ListParagraph"/>
        <w:numPr>
          <w:ilvl w:val="0"/>
          <w:numId w:val="2"/>
        </w:numPr>
        <w:spacing w:after="28" w:before="28"/>
      </w:pPr>
      <w:r>
        <w:rPr>
          <w:rFonts w:ascii="Arial" w:cs="Arial" w:eastAsia="Arial" w:hAnsi="Arial"/>
          <w:b w:val="false"/>
          <w:bCs w:val="false"/>
          <w:sz w:val="19"/>
          <w:szCs w:val="19"/>
        </w:rPr>
        <w:t xml:space="preserve">remove_duplicates(): Duplicate records inflate the weight of repeated observations in correlation analysis and would bias future model training. No duplicates were found in this dataset, confirming its integrity.</w:t>
      </w:r>
    </w:p>
    <w:p>
      <w:pPr>
        <w:pStyle w:val="ListParagraph"/>
        <w:numPr>
          <w:ilvl w:val="0"/>
          <w:numId w:val="2"/>
        </w:numPr>
        <w:spacing w:after="28" w:before="28"/>
      </w:pPr>
      <w:r>
        <w:rPr>
          <w:rFonts w:ascii="Arial" w:cs="Arial" w:eastAsia="Arial" w:hAnsi="Arial"/>
          <w:b w:val="false"/>
          <w:bCs w:val="false"/>
          <w:sz w:val="19"/>
          <w:szCs w:val="19"/>
        </w:rPr>
        <w:t xml:space="preserve">handle_outliers() with z-score clipping (threshold = 3.0): Clipping was preferred over row deletion to preserve dataset size. McKinney (2022) notes that clipping is appropriate when outliers may reflect legitimate extreme values rather than measurement error, which is plausible for physicochemical wine measurements. The 3.0 threshold retains 99.7% of normally distributed observations.</w:t>
      </w:r>
    </w:p>
    <w:p>
      <w:r>
        <w:rPr>
          <w:sz w:val="12"/>
          <w:szCs w:val="12"/>
        </w:rPr>
        <w:t xml:space="preserve"/>
      </w:r>
    </w:p>
    <w:p>
      <w:pPr>
        <w:pStyle w:val="Heading2"/>
        <w:spacing w:after="80" w:before="220"/>
      </w:pPr>
      <w:r>
        <w:rPr>
          <w:rFonts w:ascii="Arial" w:cs="Arial" w:eastAsia="Arial" w:hAnsi="Arial"/>
          <w:b/>
          <w:bCs/>
          <w:color w:val="2C5F8A"/>
          <w:sz w:val="22"/>
          <w:szCs w:val="22"/>
        </w:rPr>
        <w:t xml:space="preserve">4.2 EDA Focus</w:t>
      </w:r>
    </w:p>
    <w:p>
      <w:pPr>
        <w:spacing w:after="55" w:before="55"/>
      </w:pPr>
      <w:r>
        <w:rPr>
          <w:rFonts w:ascii="Arial" w:cs="Arial" w:eastAsia="Arial" w:hAnsi="Arial"/>
          <w:sz w:val="20"/>
          <w:szCs w:val="20"/>
        </w:rPr>
        <w:t xml:space="preserve">The exploratory analysis focused on correlation between each feature and quality, and on comparing mean feature values across high (score ≥6) vs low (score ≤5) quality wines. This framing was chosen because the project's core question is: which physicochemical properties most differentiate wine quality?</w:t>
      </w:r>
    </w:p>
    <w:p>
      <w:r>
        <w:rPr>
          <w:sz w:val="12"/>
          <w:szCs w:val="12"/>
        </w:rPr>
        <w:t xml:space="preserve"/>
      </w:r>
    </w:p>
    <w:p>
      <w:pPr>
        <w:pStyle w:val="Heading2"/>
        <w:spacing w:after="80" w:before="220"/>
      </w:pPr>
      <w:r>
        <w:rPr>
          <w:rFonts w:ascii="Arial" w:cs="Arial" w:eastAsia="Arial" w:hAnsi="Arial"/>
          <w:b/>
          <w:bCs/>
          <w:color w:val="2C5F8A"/>
          <w:sz w:val="22"/>
          <w:szCs w:val="22"/>
        </w:rPr>
        <w:t xml:space="preserve">4.3 Visualization Choices</w:t>
      </w:r>
    </w:p>
    <w:p>
      <w:pPr>
        <w:pStyle w:val="ListParagraph"/>
        <w:numPr>
          <w:ilvl w:val="0"/>
          <w:numId w:val="2"/>
        </w:numPr>
        <w:spacing w:after="28" w:before="28"/>
      </w:pPr>
      <w:r>
        <w:rPr>
          <w:rFonts w:ascii="Arial" w:cs="Arial" w:eastAsia="Arial" w:hAnsi="Arial"/>
          <w:b w:val="false"/>
          <w:bCs w:val="false"/>
          <w:sz w:val="19"/>
          <w:szCs w:val="19"/>
        </w:rPr>
        <w:t xml:space="preserve">Figure 1 (Quality Distribution): Bar chart + pie chart were chosen to show both absolute counts and proportional split between quality tiers, making the class imbalance immediately visible.</w:t>
      </w:r>
    </w:p>
    <w:p>
      <w:pPr>
        <w:pStyle w:val="ListParagraph"/>
        <w:numPr>
          <w:ilvl w:val="0"/>
          <w:numId w:val="2"/>
        </w:numPr>
        <w:spacing w:after="28" w:before="28"/>
      </w:pPr>
      <w:r>
        <w:rPr>
          <w:rFonts w:ascii="Arial" w:cs="Arial" w:eastAsia="Arial" w:hAnsi="Arial"/>
          <w:b w:val="false"/>
          <w:bCs w:val="false"/>
          <w:sz w:val="19"/>
          <w:szCs w:val="19"/>
        </w:rPr>
        <w:t xml:space="preserve">Figure 2 (Correlation Analysis): Horizontal bar chart of correlations shows directional relationships clearly; boxplot of alcohol by quality provides direct visual evidence of the strongest predictor.</w:t>
      </w:r>
    </w:p>
    <w:p>
      <w:pPr>
        <w:pStyle w:val="ListParagraph"/>
        <w:numPr>
          <w:ilvl w:val="0"/>
          <w:numId w:val="2"/>
        </w:numPr>
        <w:spacing w:after="28" w:before="28"/>
      </w:pPr>
      <w:r>
        <w:rPr>
          <w:rFonts w:ascii="Arial" w:cs="Arial" w:eastAsia="Arial" w:hAnsi="Arial"/>
          <w:b w:val="false"/>
          <w:bCs w:val="false"/>
          <w:sz w:val="19"/>
          <w:szCs w:val="19"/>
        </w:rPr>
        <w:t xml:space="preserve">Figure 3 (Heatmap + Scatter): Correlation heatmap reveals multicollinearity structure; scatter plot of alcohol vs volatile acidity coloured by quality demonstrates that high-quality wines form a visually distinct cluster.</w:t>
      </w:r>
    </w:p>
    <w:p>
      <w:r>
        <w:rPr>
          <w:sz w:val="12"/>
          <w:szCs w:val="12"/>
        </w:rPr>
        <w:t xml:space="preserve"/>
      </w:r>
    </w:p>
    <w:p>
      <w:r>
        <w:br w:type="page"/>
      </w:r>
    </w:p>
    <w:p>
      <w:pPr>
        <w:pStyle w:val="Heading1"/>
        <w:spacing w:after="110" w:before="340"/>
      </w:pPr>
      <w:r>
        <w:rPr>
          <w:rFonts w:ascii="Arial" w:cs="Arial" w:eastAsia="Arial" w:hAnsi="Arial"/>
          <w:b/>
          <w:bCs/>
          <w:color w:val="1A3A5A"/>
          <w:sz w:val="28"/>
          <w:szCs w:val="28"/>
        </w:rPr>
        <w:t xml:space="preserve">5. Results and Interpretation</w:t>
      </w:r>
    </w:p>
    <w:p>
      <w:pPr>
        <w:spacing w:after="55" w:before="55"/>
      </w:pPr>
      <w:r>
        <w:rPr>
          <w:rFonts w:ascii="Arial" w:cs="Arial" w:eastAsia="Arial" w:hAnsi="Arial"/>
          <w:sz w:val="20"/>
          <w:szCs w:val="20"/>
        </w:rPr>
        <w:t xml:space="preserve">Three primary findings emerged from the analysis:</w:t>
      </w:r>
    </w:p>
    <w:p>
      <w:r>
        <w:rPr>
          <w:sz w:val="12"/>
          <w:szCs w:val="12"/>
        </w:rPr>
        <w:t xml:space="preserve"/>
      </w:r>
    </w:p>
    <w:p>
      <w:pPr>
        <w:spacing w:after="55" w:before="55"/>
      </w:pPr>
      <w:r>
        <w:rPr>
          <w:rFonts w:ascii="Arial" w:cs="Arial" w:eastAsia="Arial" w:hAnsi="Arial"/>
          <w:sz w:val="20"/>
          <w:szCs w:val="20"/>
        </w:rPr>
        <w:t xml:space="preserve">Finding 1 — Alcohol is the strongest positive predictor of quality (r = +0.35). Figure 2B shows a clear upward trend: wines scoring 7 or 8 consistently have higher median alcohol content. This aligns with oenological theory that higher alcohol indicates more complete sugar fermentation from riper grapes.</w:t>
      </w:r>
    </w:p>
    <w:p>
      <w:r>
        <w:rPr>
          <w:sz w:val="12"/>
          <w:szCs w:val="12"/>
        </w:rPr>
        <w:t xml:space="preserve"/>
      </w:r>
    </w:p>
    <w:p>
      <w:pPr>
        <w:spacing w:after="55" w:before="55"/>
      </w:pPr>
      <w:r>
        <w:rPr>
          <w:rFonts w:ascii="Arial" w:cs="Arial" w:eastAsia="Arial" w:hAnsi="Arial"/>
          <w:sz w:val="20"/>
          <w:szCs w:val="20"/>
        </w:rPr>
        <w:t xml:space="preserve">Finding 2 — Volatile acidity is the strongest negative predictor (r = −0.56). High volatile acidity indicates acetic acid (vinegar) formation, which is associated with bacterial spoilage. Figure 3B shows that low-quality wines cluster toward high volatile acidity / low alcohol, while high-quality wines occupy the opposite corner.</w:t>
      </w:r>
    </w:p>
    <w:p>
      <w:r>
        <w:rPr>
          <w:sz w:val="12"/>
          <w:szCs w:val="12"/>
        </w:rPr>
        <w:t xml:space="preserve"/>
      </w:r>
    </w:p>
    <w:p>
      <w:pPr>
        <w:spacing w:after="55" w:before="55"/>
      </w:pPr>
      <w:r>
        <w:rPr>
          <w:rFonts w:ascii="Arial" w:cs="Arial" w:eastAsia="Arial" w:hAnsi="Arial"/>
          <w:sz w:val="20"/>
          <w:szCs w:val="20"/>
        </w:rPr>
        <w:t xml:space="preserve">Finding 3 — Sulphates are the second-strongest positive predictor (r = +0.43). Sulphates serve as antimicrobial and antioxidant agents. Higher sulphate levels protect wine from oxidation, which directly preserves quality during aging and storage.</w:t>
      </w:r>
    </w:p>
    <w:p>
      <w:r>
        <w:rPr>
          <w:sz w:val="12"/>
          <w:szCs w:val="12"/>
        </w:rPr>
        <w:t xml:space="preserve"/>
      </w:r>
    </w:p>
    <w:p>
      <w:pPr>
        <w:spacing w:after="55" w:before="55"/>
      </w:pPr>
      <w:r>
        <w:rPr>
          <w:rFonts w:ascii="Arial" w:cs="Arial" w:eastAsia="Arial" w:hAnsi="Arial"/>
          <w:sz w:val="20"/>
          <w:szCs w:val="20"/>
        </w:rPr>
        <w:t xml:space="preserve">Surprising finding: pH showed near-zero correlation with quality (r = +0.03), despite being frequently discussed as a wine quality factor. Within the pH range typical of red wines (3.1 – 3.6), variation in pH alone does not predict sommelier scores. The combination of multiple features matters more.</w:t>
      </w:r>
    </w:p>
    <w:p>
      <w:r>
        <w:rPr>
          <w:sz w:val="12"/>
          <w:szCs w:val="12"/>
        </w:rPr>
        <w:t xml:space="preserve"/>
      </w:r>
    </w:p>
    <w:p>
      <w:pPr>
        <w:pStyle w:val="Heading1"/>
        <w:spacing w:after="110" w:before="340"/>
      </w:pPr>
      <w:r>
        <w:rPr>
          <w:rFonts w:ascii="Arial" w:cs="Arial" w:eastAsia="Arial" w:hAnsi="Arial"/>
          <w:b/>
          <w:bCs/>
          <w:color w:val="1A3A5A"/>
          <w:sz w:val="28"/>
          <w:szCs w:val="28"/>
        </w:rPr>
        <w:t xml:space="preserve">6. Responsible Practice: Bias and Data Quality</w:t>
      </w:r>
    </w:p>
    <w:p>
      <w:pPr>
        <w:spacing w:after="55" w:before="55"/>
      </w:pPr>
      <w:r>
        <w:rPr>
          <w:rFonts w:ascii="Arial" w:cs="Arial" w:eastAsia="Arial" w:hAnsi="Arial"/>
          <w:sz w:val="20"/>
          <w:szCs w:val="20"/>
        </w:rPr>
        <w:t xml:space="preserve">Data cleaning decisions can introduce bias in wine quality analysis in several ways:</w:t>
      </w:r>
    </w:p>
    <w:p>
      <w:r>
        <w:rPr>
          <w:sz w:val="12"/>
          <w:szCs w:val="12"/>
        </w:rPr>
        <w:t xml:space="preserve"/>
      </w:r>
    </w:p>
    <w:p>
      <w:pPr>
        <w:pStyle w:val="ListParagraph"/>
        <w:numPr>
          <w:ilvl w:val="0"/>
          <w:numId w:val="2"/>
        </w:numPr>
        <w:spacing w:after="28" w:before="28"/>
      </w:pPr>
      <w:r>
        <w:rPr>
          <w:rFonts w:ascii="Arial" w:cs="Arial" w:eastAsia="Arial" w:hAnsi="Arial"/>
          <w:b w:val="false"/>
          <w:bCs w:val="false"/>
          <w:sz w:val="19"/>
          <w:szCs w:val="19"/>
        </w:rPr>
        <w:t xml:space="preserve">Class imbalance amplification: If outlier removal disproportionately removes wines from underrepresented quality classes (scores 3, 4, or 8), the remaining dataset becomes even more skewed toward scores 5 and 6. Clipping rather than deletion avoids this risk.</w:t>
      </w:r>
    </w:p>
    <w:p>
      <w:pPr>
        <w:pStyle w:val="ListParagraph"/>
        <w:numPr>
          <w:ilvl w:val="0"/>
          <w:numId w:val="2"/>
        </w:numPr>
        <w:spacing w:after="28" w:before="28"/>
      </w:pPr>
      <w:r>
        <w:rPr>
          <w:rFonts w:ascii="Arial" w:cs="Arial" w:eastAsia="Arial" w:hAnsi="Arial"/>
          <w:b w:val="false"/>
          <w:bCs w:val="false"/>
          <w:sz w:val="19"/>
          <w:szCs w:val="19"/>
        </w:rPr>
        <w:t xml:space="preserve">Imputation bias: If missing values were handled by mean imputation, the imputed values would compress variance in the most important features (alcohol, volatile acidity), weakening the correlations that drive quality prediction. This dataset has no missing values, eliminating this risk.</w:t>
      </w:r>
    </w:p>
    <w:p>
      <w:pPr>
        <w:pStyle w:val="ListParagraph"/>
        <w:numPr>
          <w:ilvl w:val="0"/>
          <w:numId w:val="2"/>
        </w:numPr>
        <w:spacing w:after="28" w:before="28"/>
      </w:pPr>
      <w:r>
        <w:rPr>
          <w:rFonts w:ascii="Arial" w:cs="Arial" w:eastAsia="Arial" w:hAnsi="Arial"/>
          <w:b w:val="false"/>
          <w:bCs w:val="false"/>
          <w:sz w:val="19"/>
          <w:szCs w:val="19"/>
        </w:rPr>
        <w:t xml:space="preserve">Sampling bias: The dataset represents only Vinho Verde red wines from one Portuguese region. Patterns identified here may not generalize to other varietals, regions, or production methods. Any ML model trained on this data should not be deployed as a universal wine quality predictor.</w:t>
      </w:r>
    </w:p>
    <w:p>
      <w:pPr>
        <w:pStyle w:val="ListParagraph"/>
        <w:numPr>
          <w:ilvl w:val="0"/>
          <w:numId w:val="2"/>
        </w:numPr>
        <w:spacing w:after="28" w:before="28"/>
      </w:pPr>
      <w:r>
        <w:rPr>
          <w:rFonts w:ascii="Arial" w:cs="Arial" w:eastAsia="Arial" w:hAnsi="Arial"/>
          <w:b w:val="false"/>
          <w:bCs w:val="false"/>
          <w:sz w:val="19"/>
          <w:szCs w:val="19"/>
        </w:rPr>
        <w:t xml:space="preserve">Subjectivity of labels: Quality scores are sommelier ratings and reflect sensory perception, cultural preference, and inter-rater variability. The label itself is a source of noise that cannot be cleaned away.</w:t>
      </w:r>
    </w:p>
    <w:p>
      <w:r>
        <w:rPr>
          <w:sz w:val="12"/>
          <w:szCs w:val="12"/>
        </w:rPr>
        <w:t xml:space="preserve"/>
      </w:r>
    </w:p>
    <w:p>
      <w:pPr>
        <w:pStyle w:val="Heading1"/>
        <w:spacing w:after="110" w:before="340"/>
      </w:pPr>
      <w:r>
        <w:rPr>
          <w:rFonts w:ascii="Arial" w:cs="Arial" w:eastAsia="Arial" w:hAnsi="Arial"/>
          <w:b/>
          <w:bCs/>
          <w:color w:val="1A3A5A"/>
          <w:sz w:val="28"/>
          <w:szCs w:val="28"/>
        </w:rPr>
        <w:t xml:space="preserve">7. Reproducibility</w:t>
      </w:r>
    </w:p>
    <w:p>
      <w:pPr>
        <w:spacing w:after="55" w:before="55"/>
      </w:pPr>
      <w:r>
        <w:rPr>
          <w:rFonts w:ascii="Arial" w:cs="Arial" w:eastAsia="Arial" w:hAnsi="Arial"/>
          <w:sz w:val="20"/>
          <w:szCs w:val="20"/>
        </w:rPr>
        <w:t xml:space="preserve">The project follows reproducibility standards documented by Millman &amp; Pérez (2014): all workflow steps are implemented as named functions with docstrings, the random seed is fixed (np.random.seed(42)), and all dependencies are captured in requirements.txt generated with pip freeze.</w:t>
      </w:r>
    </w:p>
    <w:p>
      <w:r>
        <w:rPr>
          <w:sz w:val="12"/>
          <w:szCs w:val="12"/>
        </w:rPr>
        <w:t xml:space="preserve"/>
      </w:r>
    </w:p>
    <w:p>
      <w:pPr>
        <w:spacing w:after="55" w:before="55"/>
      </w:pPr>
      <w:r>
        <w:rPr>
          <w:rFonts w:ascii="Arial" w:cs="Arial" w:eastAsia="Arial" w:hAnsi="Arial"/>
          <w:sz w:val="20"/>
          <w:szCs w:val="20"/>
        </w:rPr>
        <w:t xml:space="preserve">To reproduce this workflow exactly: (1) clone the repository, (2) run pip install -r requirements.txt, (3) place wine.csv in the same directory as data_workflow.ipynb, (4) run Kernel → Restart &amp; Run All.</w:t>
      </w:r>
    </w:p>
    <w:p>
      <w:r>
        <w:rPr>
          <w:sz w:val="12"/>
          <w:szCs w:val="12"/>
        </w:rPr>
        <w:t xml:space="preserve"/>
      </w:r>
    </w:p>
    <w:p>
      <w:pPr>
        <w:spacing w:after="55" w:before="55"/>
      </w:pPr>
      <w:r>
        <w:rPr>
          <w:rFonts w:ascii="Arial" w:cs="Arial" w:eastAsia="Arial" w:hAnsi="Arial"/>
          <w:sz w:val="20"/>
          <w:szCs w:val="20"/>
        </w:rPr>
        <w:t xml:space="preserve">Version control: the GitHub repository (https://github.com/cerebralabs-qk/ai-programming-foundations-project) contains multiple commits documenting workflow development and a development branch where cleaning and visualization functions were tested before merging to main.</w:t>
      </w:r>
    </w:p>
    <w:p>
      <w:r>
        <w:rPr>
          <w:sz w:val="12"/>
          <w:szCs w:val="12"/>
        </w:rPr>
        <w:t xml:space="preserve"/>
      </w:r>
    </w:p>
    <w:p>
      <w:pPr>
        <w:pStyle w:val="Heading1"/>
        <w:spacing w:after="110" w:before="340"/>
      </w:pPr>
      <w:r>
        <w:rPr>
          <w:rFonts w:ascii="Arial" w:cs="Arial" w:eastAsia="Arial" w:hAnsi="Arial"/>
          <w:b/>
          <w:bCs/>
          <w:color w:val="1A3A5A"/>
          <w:sz w:val="28"/>
          <w:szCs w:val="28"/>
        </w:rPr>
        <w:t xml:space="preserve">References</w:t>
      </w:r>
    </w:p>
    <w:p>
      <w:pPr>
        <w:spacing w:after="55" w:before="55"/>
      </w:pPr>
      <w:r>
        <w:rPr>
          <w:rFonts w:ascii="Arial" w:cs="Arial" w:eastAsia="Arial" w:hAnsi="Arial"/>
          <w:sz w:val="20"/>
          <w:szCs w:val="20"/>
        </w:rPr>
        <w:t xml:space="preserve">Cortez, P., Cerdeira, A., Almeida, F., Matos, T., &amp; Reis, J. (2009). Modeling wine preferences by data mining from physicochemical properties. Decision Support Systems, 47(4), 547–553. https://doi.org/10.1016/j.dss.2009.05.016</w:t>
      </w:r>
    </w:p>
    <w:p>
      <w:pPr>
        <w:spacing w:after="55" w:before="55"/>
      </w:pPr>
      <w:r>
        <w:rPr>
          <w:rFonts w:ascii="Arial" w:cs="Arial" w:eastAsia="Arial" w:hAnsi="Arial"/>
          <w:sz w:val="20"/>
          <w:szCs w:val="20"/>
        </w:rPr>
        <w:t xml:space="preserve">McKinney, W. (2022). Python for data analysis: Data wrangling with pandas, NumPy, and Jupyter (3rd ed.). O’Reilly Media. https://wesmckinney.com/book/</w:t>
      </w:r>
    </w:p>
    <w:p>
      <w:pPr>
        <w:spacing w:after="55" w:before="55"/>
      </w:pPr>
      <w:r>
        <w:rPr>
          <w:rFonts w:ascii="Arial" w:cs="Arial" w:eastAsia="Arial" w:hAnsi="Arial"/>
          <w:sz w:val="20"/>
          <w:szCs w:val="20"/>
        </w:rPr>
        <w:t xml:space="preserve">Millman, K. J., &amp; Pérez, F. (2014). Developing open-source scientific practice. In D. Stodden, F. Leisch, &amp; R. D. Peng (Eds.), Implementing reproducible research (pp. 149–183). CRC Press. [Reproducible Data Science with Python: An Open Learning Resource]</w:t>
      </w:r>
    </w:p>
    <w:p>
      <w:pPr>
        <w:spacing w:after="55" w:before="55"/>
      </w:pPr>
      <w:r>
        <w:rPr>
          <w:rFonts w:ascii="Arial" w:cs="Arial" w:eastAsia="Arial" w:hAnsi="Arial"/>
          <w:sz w:val="20"/>
          <w:szCs w:val="20"/>
        </w:rPr>
        <w:t xml:space="preserve">UCI Machine Learning Repository. (2009). Wine Quality Data Set. University of California, Irvine. https://archive.ics.uci.edu/ml/datasets/wine+quality</w:t>
      </w:r>
    </w:p>
    <w:p>
      <w:r>
        <w:rPr>
          <w:sz w:val="12"/>
          <w:szCs w:val="12"/>
        </w:rPr>
        <w:t xml:space="preserve"/>
      </w:r>
    </w:p>
    <w:p>
      <w:r>
        <w:rPr>
          <w:sz w:val="12"/>
          <w:szCs w:val="12"/>
        </w:rPr>
        <w:t xml:space="preserve"/>
      </w:r>
    </w:p>
    <w:p>
      <w:pPr>
        <w:pBdr>
          <w:top w:val="single" w:color="2C5F8A" w:sz="4" w:space="8"/>
        </w:pBdr>
        <w:spacing w:after="60" w:before="240"/>
        <w:jc w:val="center"/>
      </w:pPr>
      <w:r>
        <w:rPr>
          <w:rFonts w:ascii="Arial" w:cs="Arial" w:eastAsia="Arial" w:hAnsi="Arial"/>
          <w:color w:val="999999"/>
          <w:sz w:val="16"/>
          <w:szCs w:val="16"/>
        </w:rPr>
        <w:t xml:space="preserve">Udacity MSc Artificial Intelligence · AI Programming Foundations · March 2026</w:t>
      </w:r>
    </w:p>
    <w:p>
      <w:pPr>
        <w:jc w:val="center"/>
      </w:pPr>
      <w:r>
        <w:rPr>
          <w:rFonts w:ascii="Arial" w:cs="Arial" w:eastAsia="Arial" w:hAnsi="Arial"/>
          <w:i/>
          <w:iCs/>
          <w:color w:val="BBBBBB"/>
          <w:sz w:val="16"/>
          <w:szCs w:val="16"/>
        </w:rPr>
        <w:t xml:space="preserve">Prof. Dr. Sc., Dr. Qeis Kamran · CEREBRA Laboratories AG (HRB 6686)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40"/>
      <w:outlineLvl w:val="0"/>
    </w:pPr>
    <w:rPr>
      <w:rFonts w:ascii="Arial" w:cs="Arial" w:eastAsia="Arial" w:hAnsi="Arial"/>
      <w:b/>
      <w:bCs/>
      <w:color w:val="1A3A5A"/>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2026-03-21T16:32:39.578Z</dcterms:created>
  <dcterms:modified xsi:type="dcterms:W3CDTF">2026-03-21T16:32:39.579Z</dcterms:modified>
</cp:coreProperties>
</file>

<file path=docProps/custom.xml><?xml version="1.0" encoding="utf-8"?>
<Properties xmlns="http://schemas.openxmlformats.org/officeDocument/2006/custom-properties" xmlns:vt="http://schemas.openxmlformats.org/officeDocument/2006/docPropsVTypes"/>
</file>