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2"/>
          <w:szCs w:val="12"/>
        </w:rPr>
        <w:t xml:space="preserve"/>
      </w:r>
    </w:p>
    <w:p>
      <w:pPr>
        <w:spacing w:after="60" w:before="0"/>
        <w:jc w:val="center"/>
      </w:pPr>
      <w:r>
        <w:rPr>
          <w:rFonts w:ascii="Times New Roman" w:cs="Times New Roman" w:eastAsia="Times New Roman" w:hAnsi="Times New Roman"/>
          <w:b/>
          <w:bCs/>
          <w:sz w:val="44"/>
          <w:szCs w:val="44"/>
        </w:rPr>
        <w:t xml:space="preserve">Statistical Analysis Report</w:t>
      </w:r>
    </w:p>
    <w:p>
      <w:pPr>
        <w:spacing w:after="40" w:before="0"/>
        <w:jc w:val="center"/>
      </w:pPr>
      <w:r>
        <w:rPr>
          <w:rFonts w:ascii="Times New Roman" w:cs="Times New Roman" w:eastAsia="Times New Roman" w:hAnsi="Times New Roman"/>
          <w:b/>
          <w:bCs/>
          <w:sz w:val="26"/>
          <w:szCs w:val="26"/>
        </w:rPr>
        <w:t xml:space="preserve">Alcohol Content and Wine Quality:</w:t>
      </w:r>
    </w:p>
    <w:p>
      <w:pPr>
        <w:spacing w:after="40" w:before="0"/>
        <w:jc w:val="center"/>
      </w:pPr>
      <w:r>
        <w:rPr>
          <w:rFonts w:ascii="Times New Roman" w:cs="Times New Roman" w:eastAsia="Times New Roman" w:hAnsi="Times New Roman"/>
          <w:b/>
          <w:bCs/>
          <w:sz w:val="24"/>
          <w:szCs w:val="24"/>
        </w:rPr>
        <w:t xml:space="preserve">A Statistical Analysis of the UCI Red Wine Quality Dataset</w:t>
      </w:r>
    </w:p>
    <w:p>
      <w:pPr>
        <w:pBdr>
          <w:bottom w:val="single" w:color="000000" w:sz="2" w:space="1"/>
        </w:pBdr>
        <w:spacing w:after="200" w:before="0"/>
        <w:jc w:val="center"/>
      </w:pPr>
      <w:r>
        <w:rPr>
          <w:rFonts w:ascii="Times New Roman" w:cs="Times New Roman" w:eastAsia="Times New Roman" w:hAnsi="Times New Roman"/>
          <w:color w:val="555555"/>
          <w:sz w:val="18"/>
          <w:szCs w:val="18"/>
        </w:rPr>
        <w:t xml:space="preserve">Udacity MSc Artificial Intelligence · Data and Statistical Reasoning · March 2026</w:t>
      </w:r>
    </w:p>
    <w:p>
      <w:pPr>
        <w:spacing w:after="300" w:before="80"/>
        <w:jc w:val="center"/>
      </w:pPr>
      <w:r>
        <w:rPr>
          <w:rFonts w:ascii="Times New Roman" w:cs="Times New Roman" w:eastAsia="Times New Roman" w:hAnsi="Times New Roman"/>
          <w:sz w:val="20"/>
          <w:szCs w:val="20"/>
        </w:rPr>
        <w:t xml:space="preserve">Qeis Kamran · OTH Amberg-Weiden · CEREBRA Laboratories AG</w:t>
      </w:r>
    </w:p>
    <w:p>
      <w:r>
        <w:br w:type="page"/>
      </w:r>
    </w:p>
    <w:p>
      <w:pPr>
        <w:pStyle w:val="Heading1"/>
        <w:spacing w:after="120" w:before="360"/>
      </w:pPr>
      <w:r>
        <w:rPr>
          <w:rFonts w:ascii="Times New Roman" w:cs="Times New Roman" w:eastAsia="Times New Roman" w:hAnsi="Times New Roman"/>
          <w:b/>
          <w:bCs/>
          <w:color w:val="000000"/>
          <w:sz w:val="28"/>
          <w:szCs w:val="28"/>
        </w:rPr>
        <w:t xml:space="preserve">1. Overview</w:t>
      </w:r>
    </w:p>
    <w:p>
      <w:pPr>
        <w:spacing w:after="80" w:before="80"/>
      </w:pPr>
      <w:r>
        <w:rPr>
          <w:rFonts w:ascii="Times New Roman" w:cs="Times New Roman" w:eastAsia="Times New Roman" w:hAnsi="Times New Roman"/>
          <w:sz w:val="20"/>
          <w:szCs w:val="20"/>
        </w:rPr>
        <w:t xml:space="preserve">This report presents a complete statistical analysis of the UCI Red Wine Quality dataset (Cortez et al., 2009), available at https://archive.ics.uci.edu/ml/datasets/wine+quality. The central analytical question is whether high-quality red wines (quality score ≥ 6) have significantly higher alcohol content than low-quality wines (score ≤ 5). The analysis was conducted using Python, Pandas, SciPy, and Seaborn, following reproducible analysis principles as described by Ims et al. (2023).</w:t>
      </w:r>
    </w:p>
    <w:p>
      <w:r>
        <w:rPr>
          <w:sz w:val="12"/>
          <w:szCs w:val="12"/>
        </w:rPr>
        <w:t xml:space="preserve"/>
      </w:r>
    </w:p>
    <w:p>
      <w:pPr>
        <w:spacing w:after="80" w:before="80"/>
      </w:pPr>
      <w:r>
        <w:rPr>
          <w:rFonts w:ascii="Times New Roman" w:cs="Times New Roman" w:eastAsia="Times New Roman" w:hAnsi="Times New Roman"/>
          <w:sz w:val="20"/>
          <w:szCs w:val="20"/>
        </w:rPr>
        <w:t xml:space="preserve">The motivation for this question is both statistical and oenological. From a data science perspective, identifying statistically significant predictors of quality is a prerequisite for building reliable predictive models. From a domain perspective, as a sommelier certification candidate, I have direct sensory experience with the relationship between alcohol level and perceived wine quality.</w:t>
      </w:r>
    </w:p>
    <w:p>
      <w:r>
        <w:rPr>
          <w:sz w:val="12"/>
          <w:szCs w:val="12"/>
        </w:rPr>
        <w:t xml:space="preserve"/>
      </w:r>
    </w:p>
    <w:p>
      <w:pPr>
        <w:pStyle w:val="Heading1"/>
        <w:spacing w:after="120" w:before="360"/>
      </w:pPr>
      <w:r>
        <w:rPr>
          <w:rFonts w:ascii="Times New Roman" w:cs="Times New Roman" w:eastAsia="Times New Roman" w:hAnsi="Times New Roman"/>
          <w:b/>
          <w:bCs/>
          <w:color w:val="000000"/>
          <w:sz w:val="28"/>
          <w:szCs w:val="28"/>
        </w:rPr>
        <w:t xml:space="preserve">2. Dataset Description</w:t>
      </w:r>
    </w:p>
    <w:p>
      <w:pPr>
        <w:spacing w:after="80" w:before="80"/>
      </w:pPr>
      <w:r>
        <w:rPr>
          <w:rFonts w:ascii="Times New Roman" w:cs="Times New Roman" w:eastAsia="Times New Roman" w:hAnsi="Times New Roman"/>
          <w:sz w:val="20"/>
          <w:szCs w:val="20"/>
        </w:rPr>
        <w:t xml:space="preserve">The dataset contains 1,599 observations of Portuguese Vinho Verde red wine samples, each described by eleven physicochemical input variables and one sensory output variable — a quality score representing the median rating from at least three blind tastings by certified sommeliers on a scale of 0 to 10 (Cortez et al., 2009).</w:t>
      </w:r>
    </w:p>
    <w:p>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00"/>
      </w:tblGrid>
      <w:tr>
        <w:trPr>
          <w:tblHeader/>
        </w:trPr>
        <w:tc>
          <w:tcPr>
            <w:tcW w:type="dxa" w:w="2000"/>
            <w:tcBorders>
              <w:top w:val="single" w:color="222222" w:sz="1"/>
              <w:left w:val="single" w:color="222222" w:sz="1"/>
              <w:bottom w:val="single" w:color="222222" w:sz="1"/>
              <w:right w:val="single" w:color="222222" w:sz="1"/>
            </w:tcBorders>
            <w:shd w:fill="1A1A2E" w:val="clear"/>
            <w:tcMar>
              <w:top w:type="dxa" w:w="80"/>
              <w:left w:type="dxa" w:w="130"/>
              <w:bottom w:type="dxa" w:w="80"/>
              <w:right w:type="dxa" w:w="130"/>
            </w:tcMar>
          </w:tcPr>
          <w:p>
            <w:r>
              <w:rPr>
                <w:rFonts w:ascii="Times New Roman" w:cs="Times New Roman" w:eastAsia="Times New Roman" w:hAnsi="Times New Roman"/>
                <w:b/>
                <w:bCs/>
                <w:color w:val="FFFFFF"/>
                <w:sz w:val="18"/>
                <w:szCs w:val="18"/>
              </w:rPr>
              <w:t xml:space="preserve">Variable</w:t>
            </w:r>
          </w:p>
        </w:tc>
        <w:tc>
          <w:tcPr>
            <w:tcW w:type="dxa" w:w="1600"/>
            <w:tcBorders>
              <w:top w:val="single" w:color="222222" w:sz="1"/>
              <w:left w:val="single" w:color="222222" w:sz="1"/>
              <w:bottom w:val="single" w:color="222222" w:sz="1"/>
              <w:right w:val="single" w:color="222222" w:sz="1"/>
            </w:tcBorders>
            <w:shd w:fill="1A1A2E" w:val="clear"/>
            <w:tcMar>
              <w:top w:type="dxa" w:w="80"/>
              <w:left w:type="dxa" w:w="130"/>
              <w:bottom w:type="dxa" w:w="80"/>
              <w:right w:type="dxa" w:w="130"/>
            </w:tcMar>
          </w:tcPr>
          <w:p>
            <w:r>
              <w:rPr>
                <w:rFonts w:ascii="Times New Roman" w:cs="Times New Roman" w:eastAsia="Times New Roman" w:hAnsi="Times New Roman"/>
                <w:b/>
                <w:bCs/>
                <w:color w:val="FFFFFF"/>
                <w:sz w:val="18"/>
                <w:szCs w:val="18"/>
              </w:rPr>
              <w:t xml:space="preserve">Type</w:t>
            </w:r>
          </w:p>
        </w:tc>
        <w:tc>
          <w:tcPr>
            <w:tcW w:type="dxa" w:w="5400"/>
            <w:tcBorders>
              <w:top w:val="single" w:color="222222" w:sz="1"/>
              <w:left w:val="single" w:color="222222" w:sz="1"/>
              <w:bottom w:val="single" w:color="222222" w:sz="1"/>
              <w:right w:val="single" w:color="222222" w:sz="1"/>
            </w:tcBorders>
            <w:shd w:fill="1A1A2E" w:val="clear"/>
            <w:tcMar>
              <w:top w:type="dxa" w:w="80"/>
              <w:left w:type="dxa" w:w="130"/>
              <w:bottom w:type="dxa" w:w="80"/>
              <w:right w:type="dxa" w:w="130"/>
            </w:tcMar>
          </w:tcPr>
          <w:p>
            <w:r>
              <w:rPr>
                <w:rFonts w:ascii="Times New Roman" w:cs="Times New Roman" w:eastAsia="Times New Roman" w:hAnsi="Times New Roman"/>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volatile acidity</w:t>
            </w:r>
          </w:p>
        </w:tc>
        <w:tc>
          <w:tcPr>
            <w:tcW w:type="dxa" w:w="16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Numeric input</w:t>
            </w:r>
          </w:p>
        </w:tc>
        <w:tc>
          <w:tcPr>
            <w:tcW w:type="dxa" w:w="54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Acetic acid concentration (g/dm³); high levels indicate spoilage</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alcohol</w:t>
            </w:r>
          </w:p>
        </w:tc>
        <w:tc>
          <w:tcPr>
            <w:tcW w:type="dxa" w:w="16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Numeric input</w:t>
            </w:r>
          </w:p>
        </w:tc>
        <w:tc>
          <w:tcPr>
            <w:tcW w:type="dxa" w:w="54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Alcohol content (% by volume); primary variable of interest</w:t>
            </w:r>
          </w:p>
        </w:tc>
      </w:tr>
      <w:tr>
        <w:tc>
          <w:tcPr>
            <w:tcW w:type="dxa" w:w="20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sulphates</w:t>
            </w:r>
          </w:p>
        </w:tc>
        <w:tc>
          <w:tcPr>
            <w:tcW w:type="dxa" w:w="16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Numeric input</w:t>
            </w:r>
          </w:p>
        </w:tc>
        <w:tc>
          <w:tcPr>
            <w:tcW w:type="dxa" w:w="54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Antimicrobial/antioxidant agent (g/dm³)</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citric acid</w:t>
            </w:r>
          </w:p>
        </w:tc>
        <w:tc>
          <w:tcPr>
            <w:tcW w:type="dxa" w:w="16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Numeric input</w:t>
            </w:r>
          </w:p>
        </w:tc>
        <w:tc>
          <w:tcPr>
            <w:tcW w:type="dxa" w:w="54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Freshness contributor (g/dm³)</w:t>
            </w:r>
          </w:p>
        </w:tc>
      </w:tr>
      <w:tr>
        <w:tc>
          <w:tcPr>
            <w:tcW w:type="dxa" w:w="20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quality</w:t>
            </w:r>
          </w:p>
        </w:tc>
        <w:tc>
          <w:tcPr>
            <w:tcW w:type="dxa" w:w="16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Ordinal output</w:t>
            </w:r>
          </w:p>
        </w:tc>
        <w:tc>
          <w:tcPr>
            <w:tcW w:type="dxa" w:w="54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Median sommelier rating; range 3–8 in this sample</w:t>
            </w:r>
          </w:p>
        </w:tc>
      </w:tr>
    </w:tbl>
    <w:p>
      <w:r>
        <w:rPr>
          <w:sz w:val="12"/>
          <w:szCs w:val="12"/>
        </w:rPr>
        <w:t xml:space="preserve"/>
      </w:r>
    </w:p>
    <w:p>
      <w:pPr>
        <w:spacing w:after="80" w:before="80"/>
      </w:pPr>
      <w:r>
        <w:rPr>
          <w:rFonts w:ascii="Times New Roman" w:cs="Times New Roman" w:eastAsia="Times New Roman" w:hAnsi="Times New Roman"/>
          <w:sz w:val="20"/>
          <w:szCs w:val="20"/>
        </w:rPr>
        <w:t xml:space="preserve">The quality distribution is concentrated at scores 5 and 6 (approximately 82% of observations), with very few wines at the extremes (score 3: 0.3%; score 8: 0.9%). This class imbalance is a structural feature of commercial wine production and has implications for any downstream classification modelling.</w:t>
      </w:r>
    </w:p>
    <w:p>
      <w:r>
        <w:rPr>
          <w:sz w:val="12"/>
          <w:szCs w:val="12"/>
        </w:rPr>
        <w:t xml:space="preserve"/>
      </w:r>
    </w:p>
    <w:p>
      <w:r>
        <w:br w:type="page"/>
      </w:r>
    </w:p>
    <w:p>
      <w:pPr>
        <w:pStyle w:val="Heading1"/>
        <w:spacing w:after="120" w:before="360"/>
      </w:pPr>
      <w:r>
        <w:rPr>
          <w:rFonts w:ascii="Times New Roman" w:cs="Times New Roman" w:eastAsia="Times New Roman" w:hAnsi="Times New Roman"/>
          <w:b/>
          <w:bCs/>
          <w:color w:val="000000"/>
          <w:sz w:val="28"/>
          <w:szCs w:val="28"/>
        </w:rPr>
        <w:t xml:space="preserve">3. Methods</w:t>
      </w:r>
    </w:p>
    <w:p>
      <w:pPr>
        <w:pStyle w:val="Heading2"/>
        <w:spacing w:after="80" w:before="220"/>
      </w:pPr>
      <w:r>
        <w:rPr>
          <w:rFonts w:ascii="Times New Roman" w:cs="Times New Roman" w:eastAsia="Times New Roman" w:hAnsi="Times New Roman"/>
          <w:b/>
          <w:bCs/>
          <w:color w:val="222222"/>
          <w:sz w:val="22"/>
          <w:szCs w:val="22"/>
        </w:rPr>
        <w:t xml:space="preserve">3.1 Descriptive Statistics</w:t>
      </w:r>
    </w:p>
    <w:p>
      <w:pPr>
        <w:spacing w:after="80" w:before="80"/>
      </w:pPr>
      <w:r>
        <w:rPr>
          <w:rFonts w:ascii="Times New Roman" w:cs="Times New Roman" w:eastAsia="Times New Roman" w:hAnsi="Times New Roman"/>
          <w:sz w:val="20"/>
          <w:szCs w:val="20"/>
        </w:rPr>
        <w:t xml:space="preserve">Summary statistics (mean, standard deviation, minimum, quartiles, maximum) were computed for all eleven physicochemical variables using pandas.DataFrame.describe(). Categorical counts were computed for the quality variable, and Pearson correlations between each feature and quality were calculated to identify the strongest predictors. This approach is consistent with the initial data analysis framework recommended by Ims et al. (2023), which emphasises examining distributions, missingness, and univariate summaries before conducting inferential tests.</w:t>
      </w:r>
    </w:p>
    <w:p>
      <w:r>
        <w:rPr>
          <w:sz w:val="12"/>
          <w:szCs w:val="12"/>
        </w:rPr>
        <w:t xml:space="preserve"/>
      </w:r>
    </w:p>
    <w:p>
      <w:pPr>
        <w:pStyle w:val="Heading2"/>
        <w:spacing w:after="80" w:before="220"/>
      </w:pPr>
      <w:r>
        <w:rPr>
          <w:rFonts w:ascii="Times New Roman" w:cs="Times New Roman" w:eastAsia="Times New Roman" w:hAnsi="Times New Roman"/>
          <w:b/>
          <w:bCs/>
          <w:color w:val="222222"/>
          <w:sz w:val="22"/>
          <w:szCs w:val="22"/>
        </w:rPr>
        <w:t xml:space="preserve">3.2 Visualisations</w:t>
      </w:r>
    </w:p>
    <w:p>
      <w:pPr>
        <w:pStyle w:val="ListParagraph"/>
        <w:numPr>
          <w:ilvl w:val="0"/>
          <w:numId w:val="2"/>
        </w:numPr>
        <w:spacing w:after="40" w:before="40"/>
      </w:pPr>
      <w:r>
        <w:rPr>
          <w:rFonts w:ascii="Times New Roman" w:cs="Times New Roman" w:eastAsia="Times New Roman" w:hAnsi="Times New Roman"/>
          <w:sz w:val="19"/>
          <w:szCs w:val="19"/>
        </w:rPr>
        <w:t xml:space="preserve">Figure 1A: Bar chart of quality score distribution — designed to show the class imbalance and the concentration of observations at scores 5 and 6.</w:t>
      </w:r>
    </w:p>
    <w:p>
      <w:pPr>
        <w:pStyle w:val="ListParagraph"/>
        <w:numPr>
          <w:ilvl w:val="0"/>
          <w:numId w:val="2"/>
        </w:numPr>
        <w:spacing w:after="40" w:before="40"/>
      </w:pPr>
      <w:r>
        <w:rPr>
          <w:rFonts w:ascii="Times New Roman" w:cs="Times New Roman" w:eastAsia="Times New Roman" w:hAnsi="Times New Roman"/>
          <w:sz w:val="19"/>
          <w:szCs w:val="19"/>
        </w:rPr>
        <w:t xml:space="preserve">Figure 1B: Boxplot of alcohol content for low- vs high-quality groups — directly illustrates the key comparison for the hypothesis test.</w:t>
      </w:r>
    </w:p>
    <w:p>
      <w:pPr>
        <w:pStyle w:val="ListParagraph"/>
        <w:numPr>
          <w:ilvl w:val="0"/>
          <w:numId w:val="2"/>
        </w:numPr>
        <w:spacing w:after="40" w:before="40"/>
      </w:pPr>
      <w:r>
        <w:rPr>
          <w:rFonts w:ascii="Times New Roman" w:cs="Times New Roman" w:eastAsia="Times New Roman" w:hAnsi="Times New Roman"/>
          <w:sz w:val="19"/>
          <w:szCs w:val="19"/>
        </w:rPr>
        <w:t xml:space="preserve">Figure 2A: Horizontal bar chart of Pearson correlations with quality — provides a complete overview of all feature-quality relationships.</w:t>
      </w:r>
    </w:p>
    <w:p>
      <w:pPr>
        <w:pStyle w:val="ListParagraph"/>
        <w:numPr>
          <w:ilvl w:val="0"/>
          <w:numId w:val="2"/>
        </w:numPr>
        <w:spacing w:after="40" w:before="40"/>
      </w:pPr>
      <w:r>
        <w:rPr>
          <w:rFonts w:ascii="Times New Roman" w:cs="Times New Roman" w:eastAsia="Times New Roman" w:hAnsi="Times New Roman"/>
          <w:sz w:val="19"/>
          <w:szCs w:val="19"/>
        </w:rPr>
        <w:t xml:space="preserve">Figure 2B: Scatter plot of alcohol vs volatile acidity coloured by quality score — tests visual separability of quality groups in two-dimensional space.</w:t>
      </w:r>
    </w:p>
    <w:p>
      <w:pPr>
        <w:pStyle w:val="ListParagraph"/>
        <w:numPr>
          <w:ilvl w:val="0"/>
          <w:numId w:val="2"/>
        </w:numPr>
        <w:spacing w:after="40" w:before="40"/>
      </w:pPr>
      <w:r>
        <w:rPr>
          <w:rFonts w:ascii="Times New Roman" w:cs="Times New Roman" w:eastAsia="Times New Roman" w:hAnsi="Times New Roman"/>
          <w:sz w:val="19"/>
          <w:szCs w:val="19"/>
        </w:rPr>
        <w:t xml:space="preserve">Figure 3A: Correlation heatmap — reveals multicollinearity structure among features, important for future regression modelling.</w:t>
      </w:r>
    </w:p>
    <w:p>
      <w:pPr>
        <w:pStyle w:val="ListParagraph"/>
        <w:numPr>
          <w:ilvl w:val="0"/>
          <w:numId w:val="2"/>
        </w:numPr>
        <w:spacing w:after="40" w:before="40"/>
      </w:pPr>
      <w:r>
        <w:rPr>
          <w:rFonts w:ascii="Times New Roman" w:cs="Times New Roman" w:eastAsia="Times New Roman" w:hAnsi="Times New Roman"/>
          <w:sz w:val="19"/>
          <w:szCs w:val="19"/>
        </w:rPr>
        <w:t xml:space="preserve">Figure 3B: Violin plot of alcohol by quality score — shows the full distribution shape at each quality level, not just the median and quartiles.</w:t>
      </w:r>
    </w:p>
    <w:p>
      <w:r>
        <w:rPr>
          <w:sz w:val="12"/>
          <w:szCs w:val="12"/>
        </w:rPr>
        <w:t xml:space="preserve"/>
      </w:r>
    </w:p>
    <w:p>
      <w:pPr>
        <w:pStyle w:val="Heading2"/>
        <w:spacing w:after="80" w:before="220"/>
      </w:pPr>
      <w:r>
        <w:rPr>
          <w:rFonts w:ascii="Times New Roman" w:cs="Times New Roman" w:eastAsia="Times New Roman" w:hAnsi="Times New Roman"/>
          <w:b/>
          <w:bCs/>
          <w:color w:val="222222"/>
          <w:sz w:val="22"/>
          <w:szCs w:val="22"/>
        </w:rPr>
        <w:t xml:space="preserve">3.3 Hypothesis Test</w:t>
      </w:r>
    </w:p>
    <w:p>
      <w:pPr>
        <w:spacing w:after="80" w:before="80"/>
      </w:pPr>
      <w:r>
        <w:rPr>
          <w:rFonts w:ascii="Times New Roman" w:cs="Times New Roman" w:eastAsia="Times New Roman" w:hAnsi="Times New Roman"/>
          <w:sz w:val="20"/>
          <w:szCs w:val="20"/>
        </w:rPr>
        <w:t xml:space="preserve">An independent samples t-test (Welch's variant) was selected to test whether mean alcohol content differs significantly between high-quality (score ≥ 6, n = 859) and low-quality (score ≤ 5, n = 740) wines. The Welch's t-test is appropriate here because it does not assume equal population variances, which is the recommended approach when group sizes and variances may differ (Field, 2013). The test was conducted one-tailed (H₁: μ_high &gt; μ_low) at significance level α = 0.05. Effect size was quantified using Cohen's d.</w:t>
      </w:r>
    </w:p>
    <w:p>
      <w:r>
        <w:rPr>
          <w:sz w:val="12"/>
          <w:szCs w:val="12"/>
        </w:rPr>
        <w:t xml:space="preserve"/>
      </w:r>
    </w:p>
    <w:p>
      <w:pPr>
        <w:pStyle w:val="Heading1"/>
        <w:spacing w:after="120" w:before="360"/>
      </w:pPr>
      <w:r>
        <w:rPr>
          <w:rFonts w:ascii="Times New Roman" w:cs="Times New Roman" w:eastAsia="Times New Roman" w:hAnsi="Times New Roman"/>
          <w:b/>
          <w:bCs/>
          <w:color w:val="000000"/>
          <w:sz w:val="28"/>
          <w:szCs w:val="28"/>
        </w:rPr>
        <w:t xml:space="preserve">4. Results</w:t>
      </w:r>
    </w:p>
    <w:p>
      <w:pPr>
        <w:spacing w:after="80" w:before="80"/>
      </w:pPr>
      <w:r>
        <w:rPr>
          <w:rFonts w:ascii="Times New Roman" w:cs="Times New Roman" w:eastAsia="Times New Roman" w:hAnsi="Times New Roman"/>
          <w:sz w:val="20"/>
          <w:szCs w:val="20"/>
        </w:rPr>
        <w:t xml:space="preserve">The descriptive analysis identified volatile acidity (r = −0.484) and alcohol (r = +0.391) as the two strongest predictors of wine quality, followed by sulphates (r = +0.384). The correlation heatmap (Figure 3A) revealed moderate negative correlation between alcohol and density (r ≈ −0.5), which is expected given the physical relationship between ethanol content and liquid density.</w:t>
      </w:r>
    </w:p>
    <w:p>
      <w:r>
        <w:rPr>
          <w:sz w:val="12"/>
          <w:szCs w:val="12"/>
        </w:rPr>
        <w:t xml:space="preserve"/>
      </w:r>
    </w:p>
    <w:p>
      <w:pPr>
        <w:spacing w:after="80" w:before="80"/>
      </w:pPr>
      <w:r>
        <w:rPr>
          <w:rFonts w:ascii="Times New Roman" w:cs="Times New Roman" w:eastAsia="Times New Roman" w:hAnsi="Times New Roman"/>
          <w:sz w:val="20"/>
          <w:szCs w:val="20"/>
        </w:rPr>
        <w:t xml:space="preserve">Figure 2B shows a clear visual separation between quality groups: high-quality wines (green) cluster toward high alcohol / low volatile acidity, while low-quality wines (red/orange) concentrate toward low alcohol / high volatile acidity. This pattern is consistent across the full quality range (Figure 3B).</w:t>
      </w:r>
    </w:p>
    <w:p>
      <w:r>
        <w:rPr>
          <w:sz w:val="12"/>
          <w:szCs w:val="12"/>
        </w:rPr>
        <w:t xml:space="preserve"/>
      </w:r>
    </w:p>
    <w:p>
      <w:pPr>
        <w:spacing w:after="80" w:before="80"/>
      </w:pPr>
      <w:r>
        <w:rPr>
          <w:rFonts w:ascii="Times New Roman" w:cs="Times New Roman" w:eastAsia="Times New Roman" w:hAnsi="Times New Roman"/>
          <w:sz w:val="20"/>
          <w:szCs w:val="20"/>
        </w:rPr>
        <w:t xml:space="preserve">The independent samples t-test produced the following results:</w:t>
      </w:r>
    </w:p>
    <w:p>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rPr>
          <w:tblHeader/>
        </w:trPr>
        <w:tc>
          <w:tcPr>
            <w:tcW w:type="dxa" w:w="2800"/>
            <w:tcBorders>
              <w:top w:val="single" w:color="222222" w:sz="1"/>
              <w:left w:val="single" w:color="222222" w:sz="1"/>
              <w:bottom w:val="single" w:color="222222" w:sz="1"/>
              <w:right w:val="single" w:color="222222" w:sz="1"/>
            </w:tcBorders>
            <w:shd w:fill="1A1A2E" w:val="clear"/>
            <w:tcMar>
              <w:top w:type="dxa" w:w="80"/>
              <w:left w:type="dxa" w:w="130"/>
              <w:bottom w:type="dxa" w:w="80"/>
              <w:right w:type="dxa" w:w="130"/>
            </w:tcMar>
          </w:tcPr>
          <w:p>
            <w:r>
              <w:rPr>
                <w:rFonts w:ascii="Times New Roman" w:cs="Times New Roman" w:eastAsia="Times New Roman" w:hAnsi="Times New Roman"/>
                <w:b/>
                <w:bCs/>
                <w:color w:val="FFFFFF"/>
                <w:sz w:val="18"/>
                <w:szCs w:val="18"/>
              </w:rPr>
              <w:t xml:space="preserve">Statistic</w:t>
            </w:r>
          </w:p>
        </w:tc>
        <w:tc>
          <w:tcPr>
            <w:tcW w:type="dxa" w:w="2200"/>
            <w:tcBorders>
              <w:top w:val="single" w:color="222222" w:sz="1"/>
              <w:left w:val="single" w:color="222222" w:sz="1"/>
              <w:bottom w:val="single" w:color="222222" w:sz="1"/>
              <w:right w:val="single" w:color="222222" w:sz="1"/>
            </w:tcBorders>
            <w:shd w:fill="1A1A2E" w:val="clear"/>
            <w:tcMar>
              <w:top w:type="dxa" w:w="80"/>
              <w:left w:type="dxa" w:w="130"/>
              <w:bottom w:type="dxa" w:w="80"/>
              <w:right w:type="dxa" w:w="130"/>
            </w:tcMar>
          </w:tcPr>
          <w:p>
            <w:r>
              <w:rPr>
                <w:rFonts w:ascii="Times New Roman" w:cs="Times New Roman" w:eastAsia="Times New Roman" w:hAnsi="Times New Roman"/>
                <w:b/>
                <w:bCs/>
                <w:color w:val="FFFFFF"/>
                <w:sz w:val="18"/>
                <w:szCs w:val="18"/>
              </w:rPr>
              <w:t xml:space="preserve">Value</w:t>
            </w:r>
          </w:p>
        </w:tc>
        <w:tc>
          <w:tcPr>
            <w:tcW w:type="dxa" w:w="4000"/>
            <w:tcBorders>
              <w:top w:val="single" w:color="222222" w:sz="1"/>
              <w:left w:val="single" w:color="222222" w:sz="1"/>
              <w:bottom w:val="single" w:color="222222" w:sz="1"/>
              <w:right w:val="single" w:color="222222" w:sz="1"/>
            </w:tcBorders>
            <w:shd w:fill="1A1A2E" w:val="clear"/>
            <w:tcMar>
              <w:top w:type="dxa" w:w="80"/>
              <w:left w:type="dxa" w:w="130"/>
              <w:bottom w:type="dxa" w:w="80"/>
              <w:right w:type="dxa" w:w="130"/>
            </w:tcMar>
          </w:tcPr>
          <w:p>
            <w:r>
              <w:rPr>
                <w:rFonts w:ascii="Times New Roman" w:cs="Times New Roman" w:eastAsia="Times New Roman" w:hAnsi="Times New Roman"/>
                <w:b/>
                <w:bCs/>
                <w:color w:val="FFFFFF"/>
                <w:sz w:val="18"/>
                <w:szCs w:val="18"/>
              </w:rPr>
              <w:t xml:space="preserve">Interpretation</w:t>
            </w:r>
          </w:p>
        </w:tc>
      </w:tr>
      <w:tr>
        <w:tc>
          <w:tcPr>
            <w:tcW w:type="dxa" w:w="28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High quality mean alcohol</w:t>
            </w:r>
          </w:p>
        </w:tc>
        <w:tc>
          <w:tcPr>
            <w:tcW w:type="dxa" w:w="22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11.509% ABV</w:t>
            </w:r>
          </w:p>
        </w:tc>
        <w:tc>
          <w:tcPr>
            <w:tcW w:type="dxa" w:w="40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Mean for wines scoring ≥6</w:t>
            </w:r>
          </w:p>
        </w:tc>
      </w:tr>
      <w:tr>
        <w:tc>
          <w:tcPr>
            <w:tcW w:type="dxa" w:w="28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Low quality mean alcohol</w:t>
            </w:r>
          </w:p>
        </w:tc>
        <w:tc>
          <w:tcPr>
            <w:tcW w:type="dxa" w:w="22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10.940% ABV</w:t>
            </w:r>
          </w:p>
        </w:tc>
        <w:tc>
          <w:tcPr>
            <w:tcW w:type="dxa" w:w="40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Mean for wines scoring ≤5</w:t>
            </w:r>
          </w:p>
        </w:tc>
      </w:tr>
      <w:tr>
        <w:tc>
          <w:tcPr>
            <w:tcW w:type="dxa" w:w="28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Mean difference</w:t>
            </w:r>
          </w:p>
        </w:tc>
        <w:tc>
          <w:tcPr>
            <w:tcW w:type="dxa" w:w="22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0.569% ABV</w:t>
            </w:r>
          </w:p>
        </w:tc>
        <w:tc>
          <w:tcPr>
            <w:tcW w:type="dxa" w:w="40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Absolute difference between groups</w:t>
            </w:r>
          </w:p>
        </w:tc>
      </w:tr>
      <w:tr>
        <w:tc>
          <w:tcPr>
            <w:tcW w:type="dxa" w:w="28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Test statistic</w:t>
            </w:r>
          </w:p>
        </w:tc>
        <w:tc>
          <w:tcPr>
            <w:tcW w:type="dxa" w:w="22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t = 14.042</w:t>
            </w:r>
          </w:p>
        </w:tc>
        <w:tc>
          <w:tcPr>
            <w:tcW w:type="dxa" w:w="40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Welch's t-statistic</w:t>
            </w:r>
          </w:p>
        </w:tc>
      </w:tr>
      <w:tr>
        <w:tc>
          <w:tcPr>
            <w:tcW w:type="dxa" w:w="28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p-value</w:t>
            </w:r>
          </w:p>
        </w:tc>
        <w:tc>
          <w:tcPr>
            <w:tcW w:type="dxa" w:w="22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p &lt; 0.0001</w:t>
            </w:r>
          </w:p>
        </w:tc>
        <w:tc>
          <w:tcPr>
            <w:tcW w:type="dxa" w:w="40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One-tailed probability</w:t>
            </w:r>
          </w:p>
        </w:tc>
      </w:tr>
      <w:tr>
        <w:tc>
          <w:tcPr>
            <w:tcW w:type="dxa" w:w="28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Effect size</w:t>
            </w:r>
          </w:p>
        </w:tc>
        <w:tc>
          <w:tcPr>
            <w:tcW w:type="dxa" w:w="22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Cohen's d = 0.705</w:t>
            </w:r>
          </w:p>
        </w:tc>
        <w:tc>
          <w:tcPr>
            <w:tcW w:type="dxa" w:w="40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Medium-to-large effect</w:t>
            </w:r>
          </w:p>
        </w:tc>
      </w:tr>
      <w:tr>
        <w:tc>
          <w:tcPr>
            <w:tcW w:type="dxa" w:w="28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Decision</w:t>
            </w:r>
          </w:p>
        </w:tc>
        <w:tc>
          <w:tcPr>
            <w:tcW w:type="dxa" w:w="22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Reject H₀</w:t>
            </w:r>
          </w:p>
        </w:tc>
        <w:tc>
          <w:tcPr>
            <w:tcW w:type="dxa" w:w="40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p &lt; α = 0.05</w:t>
            </w:r>
          </w:p>
        </w:tc>
      </w:tr>
    </w:tbl>
    <w:p>
      <w:r>
        <w:rPr>
          <w:sz w:val="12"/>
          <w:szCs w:val="12"/>
        </w:rPr>
        <w:t xml:space="preserve"/>
      </w:r>
    </w:p>
    <w:p>
      <w:pPr>
        <w:spacing w:after="80" w:before="80"/>
      </w:pPr>
      <w:r>
        <w:rPr>
          <w:rFonts w:ascii="Times New Roman" w:cs="Times New Roman" w:eastAsia="Times New Roman" w:hAnsi="Times New Roman"/>
          <w:sz w:val="20"/>
          <w:szCs w:val="20"/>
        </w:rPr>
        <w:t xml:space="preserve">The null hypothesis is rejected. High-quality wines have significantly higher alcohol content than low-quality wines (t = 14.042, p &lt; 0.0001). The Cohen's d of 0.705 indicates a medium-to-large practical effect — the difference is not merely statistically significant but also meaningful in magnitude (Field, 2013).</w:t>
      </w:r>
    </w:p>
    <w:p>
      <w:r>
        <w:rPr>
          <w:sz w:val="12"/>
          <w:szCs w:val="12"/>
        </w:rPr>
        <w:t xml:space="preserve"/>
      </w:r>
    </w:p>
    <w:p>
      <w:pPr>
        <w:pStyle w:val="Heading1"/>
        <w:spacing w:after="120" w:before="360"/>
      </w:pPr>
      <w:r>
        <w:rPr>
          <w:rFonts w:ascii="Times New Roman" w:cs="Times New Roman" w:eastAsia="Times New Roman" w:hAnsi="Times New Roman"/>
          <w:b/>
          <w:bCs/>
          <w:color w:val="000000"/>
          <w:sz w:val="28"/>
          <w:szCs w:val="28"/>
        </w:rPr>
        <w:t xml:space="preserve">5. Interpretation for a Non-Technical Audience</w:t>
      </w:r>
    </w:p>
    <w:p>
      <w:pPr>
        <w:spacing w:after="80" w:before="80"/>
      </w:pPr>
      <w:r>
        <w:rPr>
          <w:rFonts w:ascii="Times New Roman" w:cs="Times New Roman" w:eastAsia="Times New Roman" w:hAnsi="Times New Roman"/>
          <w:sz w:val="20"/>
          <w:szCs w:val="20"/>
        </w:rPr>
        <w:t xml:space="preserve">In plain language: wines that sommeliers rate more highly tend to contain more alcohol. On average, a high-quality wine in this dataset contains about half a percentage point more alcohol than a low-quality wine (11.5% vs 10.9% ABV). While this may seem like a small difference, the statistical analysis shows it is highly unlikely to have occurred by chance — the probability of observing this result if there were truly no difference is less than one in ten thousand.</w:t>
      </w:r>
    </w:p>
    <w:p>
      <w:r>
        <w:rPr>
          <w:sz w:val="12"/>
          <w:szCs w:val="12"/>
        </w:rPr>
        <w:t xml:space="preserve"/>
      </w:r>
    </w:p>
    <w:p>
      <w:pPr>
        <w:spacing w:after="80" w:before="80"/>
      </w:pPr>
      <w:r>
        <w:rPr>
          <w:rFonts w:ascii="Times New Roman" w:cs="Times New Roman" w:eastAsia="Times New Roman" w:hAnsi="Times New Roman"/>
          <w:sz w:val="20"/>
          <w:szCs w:val="20"/>
        </w:rPr>
        <w:t xml:space="preserve">This does not mean that adding more alcohol to a wine will make it better. Rather, it suggests that wines made from riper grapes — which naturally produce more alcohol during fermentation — tend to be rated more favourably by trained tasters. The relationship is associative, not causal.</w:t>
      </w:r>
    </w:p>
    <w:p>
      <w:r>
        <w:rPr>
          <w:sz w:val="12"/>
          <w:szCs w:val="12"/>
        </w:rPr>
        <w:t xml:space="preserve"/>
      </w:r>
    </w:p>
    <w:p>
      <w:r>
        <w:br w:type="page"/>
      </w:r>
    </w:p>
    <w:p>
      <w:pPr>
        <w:pStyle w:val="Heading1"/>
        <w:spacing w:after="120" w:before="360"/>
      </w:pPr>
      <w:r>
        <w:rPr>
          <w:rFonts w:ascii="Times New Roman" w:cs="Times New Roman" w:eastAsia="Times New Roman" w:hAnsi="Times New Roman"/>
          <w:b/>
          <w:bCs/>
          <w:color w:val="000000"/>
          <w:sz w:val="28"/>
          <w:szCs w:val="28"/>
        </w:rPr>
        <w:t xml:space="preserve">6. Limitations and Potential Bias</w:t>
      </w:r>
    </w:p>
    <w:p>
      <w:pPr>
        <w:pStyle w:val="Heading2"/>
        <w:spacing w:after="80" w:before="220"/>
      </w:pPr>
      <w:r>
        <w:rPr>
          <w:rFonts w:ascii="Times New Roman" w:cs="Times New Roman" w:eastAsia="Times New Roman" w:hAnsi="Times New Roman"/>
          <w:b/>
          <w:bCs/>
          <w:color w:val="222222"/>
          <w:sz w:val="22"/>
          <w:szCs w:val="22"/>
        </w:rPr>
        <w:t xml:space="preserve">6.1 Dataset Limitations</w:t>
      </w:r>
    </w:p>
    <w:p>
      <w:pPr>
        <w:spacing w:after="80" w:before="80"/>
      </w:pPr>
      <w:r>
        <w:rPr>
          <w:rFonts w:ascii="Times New Roman" w:cs="Times New Roman" w:eastAsia="Times New Roman" w:hAnsi="Times New Roman"/>
          <w:sz w:val="20"/>
          <w:szCs w:val="20"/>
        </w:rPr>
        <w:t xml:space="preserve">The dataset represents only Vinho Verde red wine from northern Portugal. Findings should not be generalised to other wine varietals, production regions, or rating systems. The quality scores are based on sensory evaluation by a specific panel of Portuguese sommeliers at a specific point in time; preferences may differ by market, culture, or evaluator.</w:t>
      </w:r>
    </w:p>
    <w:p>
      <w:r>
        <w:rPr>
          <w:sz w:val="12"/>
          <w:szCs w:val="12"/>
        </w:rPr>
        <w:t xml:space="preserve"/>
      </w:r>
    </w:p>
    <w:p>
      <w:pPr>
        <w:spacing w:after="80" w:before="80"/>
      </w:pPr>
      <w:r>
        <w:rPr>
          <w:rFonts w:ascii="Times New Roman" w:cs="Times New Roman" w:eastAsia="Times New Roman" w:hAnsi="Times New Roman"/>
          <w:sz w:val="20"/>
          <w:szCs w:val="20"/>
        </w:rPr>
        <w:t xml:space="preserve">The class imbalance — with approximately 82% of wines scoring 5 or 6 — means that conclusions about extreme quality levels (scores 3, 4, and 8) are based on very small samples. Statistical tests comparing these groups would have low power.</w:t>
      </w:r>
    </w:p>
    <w:p>
      <w:r>
        <w:rPr>
          <w:sz w:val="12"/>
          <w:szCs w:val="12"/>
        </w:rPr>
        <w:t xml:space="preserve"/>
      </w:r>
    </w:p>
    <w:p>
      <w:pPr>
        <w:pStyle w:val="Heading2"/>
        <w:spacing w:after="80" w:before="220"/>
      </w:pPr>
      <w:r>
        <w:rPr>
          <w:rFonts w:ascii="Times New Roman" w:cs="Times New Roman" w:eastAsia="Times New Roman" w:hAnsi="Times New Roman"/>
          <w:b/>
          <w:bCs/>
          <w:color w:val="222222"/>
          <w:sz w:val="22"/>
          <w:szCs w:val="22"/>
        </w:rPr>
        <w:t xml:space="preserve">6.2 Potential Sources of Bias</w:t>
      </w:r>
    </w:p>
    <w:p>
      <w:pPr>
        <w:spacing w:after="80" w:before="80"/>
      </w:pPr>
      <w:r>
        <w:rPr>
          <w:rFonts w:ascii="Times New Roman" w:cs="Times New Roman" w:eastAsia="Times New Roman" w:hAnsi="Times New Roman"/>
          <w:sz w:val="20"/>
          <w:szCs w:val="20"/>
        </w:rPr>
        <w:t xml:space="preserve">The most significant analytical risk is confounding. Alcohol correlates with multiple other physicochemical variables (density r ≈ −0.5; volatile acidity r ≈ −0.3). The observed alcohol-quality relationship may partly reflect the quality-reducing effect of high volatile acidity rather than a direct positive effect of alcohol. A multivariate analysis (e.g., multiple regression) would be required to isolate the independent contributions of each variable, as recommended by Ims et al. (2023) for robust inferential conclusions.</w:t>
      </w:r>
    </w:p>
    <w:p>
      <w:r>
        <w:rPr>
          <w:sz w:val="12"/>
          <w:szCs w:val="12"/>
        </w:rPr>
        <w:t xml:space="preserve"/>
      </w:r>
    </w:p>
    <w:p>
      <w:pPr>
        <w:spacing w:after="80" w:before="80"/>
      </w:pPr>
      <w:r>
        <w:rPr>
          <w:rFonts w:ascii="Times New Roman" w:cs="Times New Roman" w:eastAsia="Times New Roman" w:hAnsi="Times New Roman"/>
          <w:sz w:val="20"/>
          <w:szCs w:val="20"/>
        </w:rPr>
        <w:t xml:space="preserve">Additionally, the t-test treats quality as a binary variable (high vs low), which discards information about gradations within each group. This simplification was appropriate for a focused hypothesis test but would not be appropriate for a full predictive model.</w:t>
      </w:r>
    </w:p>
    <w:p>
      <w:r>
        <w:rPr>
          <w:sz w:val="12"/>
          <w:szCs w:val="12"/>
        </w:rPr>
        <w:t xml:space="preserve"/>
      </w:r>
    </w:p>
    <w:p>
      <w:pPr>
        <w:pStyle w:val="Heading1"/>
        <w:spacing w:after="120" w:before="360"/>
      </w:pPr>
      <w:r>
        <w:rPr>
          <w:rFonts w:ascii="Times New Roman" w:cs="Times New Roman" w:eastAsia="Times New Roman" w:hAnsi="Times New Roman"/>
          <w:b/>
          <w:bCs/>
          <w:color w:val="000000"/>
          <w:sz w:val="28"/>
          <w:szCs w:val="28"/>
        </w:rPr>
        <w:t xml:space="preserve">References</w:t>
      </w:r>
    </w:p>
    <w:p>
      <w:pPr>
        <w:spacing w:after="80" w:before="80"/>
      </w:pPr>
      <w:r>
        <w:rPr>
          <w:rFonts w:ascii="Times New Roman" w:cs="Times New Roman" w:eastAsia="Times New Roman" w:hAnsi="Times New Roman"/>
          <w:sz w:val="20"/>
          <w:szCs w:val="20"/>
        </w:rPr>
        <w:t xml:space="preserve">Cortez, P., Cerdeira, A., Almeida, F., Matos, T., &amp; Reis, J. (2009). Modeling wine preferences by data mining from physicochemical properties. Decision Support Systems, 47(4), 547–553. https://doi.org/10.1016/j.dss.2009.05.016</w:t>
      </w:r>
    </w:p>
    <w:p>
      <w:r>
        <w:rPr>
          <w:sz w:val="12"/>
          <w:szCs w:val="12"/>
        </w:rPr>
        <w:t xml:space="preserve"/>
      </w:r>
    </w:p>
    <w:p>
      <w:pPr>
        <w:spacing w:after="80" w:before="80"/>
      </w:pPr>
      <w:r>
        <w:rPr>
          <w:rFonts w:ascii="Times New Roman" w:cs="Times New Roman" w:eastAsia="Times New Roman" w:hAnsi="Times New Roman"/>
          <w:sz w:val="20"/>
          <w:szCs w:val="20"/>
        </w:rPr>
        <w:t xml:space="preserve">Field, A. (2013). Discovering statistics using IBM SPSS statistics (4th ed.). SAGE Publications. [Chapter 9: Comparing Two Means]</w:t>
      </w:r>
    </w:p>
    <w:p>
      <w:r>
        <w:rPr>
          <w:sz w:val="12"/>
          <w:szCs w:val="12"/>
        </w:rPr>
        <w:t xml:space="preserve"/>
      </w:r>
    </w:p>
    <w:p>
      <w:pPr>
        <w:spacing w:after="80" w:before="80"/>
      </w:pPr>
      <w:r>
        <w:rPr>
          <w:rFonts w:ascii="Times New Roman" w:cs="Times New Roman" w:eastAsia="Times New Roman" w:hAnsi="Times New Roman"/>
          <w:sz w:val="20"/>
          <w:szCs w:val="20"/>
        </w:rPr>
        <w:t xml:space="preserve">Ims, R. A., Austrheim, G., Bates, N. R., &amp; others. (2023). Initial data analysis for longitudinal studies to build a solid foundation for reproducible analysis. PLOS ONE. https://doi.org/10.1371/journal.pone.0292832</w:t>
      </w:r>
    </w:p>
    <w:p>
      <w:r>
        <w:rPr>
          <w:sz w:val="12"/>
          <w:szCs w:val="12"/>
        </w:rPr>
        <w:t xml:space="preserve"/>
      </w:r>
    </w:p>
    <w:p>
      <w:pPr>
        <w:spacing w:after="80" w:before="80"/>
      </w:pPr>
      <w:r>
        <w:rPr>
          <w:rFonts w:ascii="Times New Roman" w:cs="Times New Roman" w:eastAsia="Times New Roman" w:hAnsi="Times New Roman"/>
          <w:sz w:val="20"/>
          <w:szCs w:val="20"/>
        </w:rPr>
        <w:t xml:space="preserve">UCI Machine Learning Repository. (2009). Wine Quality Data Set. University of California, Irvine. https://archive.ics.uci.edu/ml/datasets/wine+quality</w:t>
      </w:r>
    </w:p>
    <w:p>
      <w:r>
        <w:rPr>
          <w:sz w:val="12"/>
          <w:szCs w:val="12"/>
        </w:rPr>
        <w:t xml:space="preserve"/>
      </w:r>
    </w:p>
    <w:p>
      <w:r>
        <w:rPr>
          <w:sz w:val="12"/>
          <w:szCs w:val="12"/>
        </w:rPr>
        <w:t xml:space="preserve"/>
      </w:r>
    </w:p>
    <w:p>
      <w:pPr>
        <w:pBdr>
          <w:top w:val="single" w:color="000000" w:sz="2" w:space="8"/>
        </w:pBdr>
        <w:spacing w:after="40" w:before="240"/>
        <w:jc w:val="center"/>
      </w:pPr>
      <w:r>
        <w:rPr>
          <w:rFonts w:ascii="Times New Roman" w:cs="Times New Roman" w:eastAsia="Times New Roman" w:hAnsi="Times New Roman"/>
          <w:color w:val="777777"/>
          <w:sz w:val="16"/>
          <w:szCs w:val="16"/>
        </w:rPr>
        <w:t xml:space="preserve">Udacity MSc Artificial Intelligence · Data and Statistical Reasoning ·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2026-03-22T12:36:08.320Z</dcterms:created>
  <dcterms:modified xsi:type="dcterms:W3CDTF">2026-03-22T12:36:08.321Z</dcterms:modified>
</cp:coreProperties>
</file>

<file path=docProps/custom.xml><?xml version="1.0" encoding="utf-8"?>
<Properties xmlns="http://schemas.openxmlformats.org/officeDocument/2006/custom-properties" xmlns:vt="http://schemas.openxmlformats.org/officeDocument/2006/docPropsVTypes"/>
</file>