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Appendix D1. Collinearity Diagnostics (VIF / GVIF)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48"/>
        <w:gridCol w:w="1328"/>
        <w:gridCol w:w="655"/>
        <w:gridCol w:w="1932"/>
        <w:gridCol w:w="3015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GVIF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GVIF^(1/(2*Df))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fk_c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3.956327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1.989052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(centered quadratic)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I(fk_c^2)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1.589651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1.260814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(centered quadratic)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factor(llm)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1.362578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1.080414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(centered quadratic)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factor(prompt_id)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3.514404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1.233035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(centered quadratic)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factor(conversation_id)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1.395404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1.007601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(centered quadratic)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dale_chall_quanteda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2.583102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1.607203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Dale–Chall (linear)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factor(llm)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1.084907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1.020582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Dale–Chall (linear)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factor(prompt_id)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1.825213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1.105483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Dale–Chall (linear)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factor(conversation_id)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1.672982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1.011764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Dale–Chall (linear)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2026-04-02T17:21:45Z</dcterms:modified>
  <cp:category/>
</cp:coreProperties>
</file>