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A. Model Specification and Sample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92"/>
        <w:gridCol w:w="9044"/>
      </w:tblGrid>
      <w:tr>
        <w:trPr>
          <w:trHeight w:val="5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Detail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of analysis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chatbot response paired with its originating user question.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Questions in source 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Questions with rated responses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Rated chatbot responses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Readability measures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Flesch-Kincaid Grade Level and Dale-Chall familiar-vocabulary score.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 measure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 of OpenAI and Gemini LLM-judge empathy scores.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FKGL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average_empathy ~ fk_grade + fk_grade^2 + llm + prompt_id + question_id fixed effects.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Dale-Chall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average_empathy ~ dale_chall + llm + prompt_id + question_id fixed effects.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Design-validation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Readability score ~ llm * prompt_id + random intercept for question.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2026-07-03T11:35:26Z</dcterms:modified>
  <cp:category/>
</cp:coreProperties>
</file>