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B1. Fixed-Effects OLS Models Predicting Empathy (HC3 Robust SEs)</w:t>
      </w:r>
    </w:p>
    <w:p>
      <w:pPr>
        <w:pStyle w:val="Normal"/>
      </w:pPr>
      <w:r>
        <w:t xml:space="preserve">Question fixed effects included but not shown. Robust (HC3) standard errors reported.</w:t>
      </w:r>
    </w:p>
    <w:p>
      <w:pPr>
        <w:pStyle w:val="Titre2"/>
      </w:pPr>
      <w:r>
        <w:t xml:space="preserve">Coefficient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8"/>
        <w:gridCol w:w="3675"/>
        <w:gridCol w:w="1266"/>
        <w:gridCol w:w="1352"/>
        <w:gridCol w:w="1059"/>
        <w:gridCol w:w="1132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(HC3)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fk_grade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I(fk_grade^2)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factor(llm)google/gemini-2.5-flash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factor(llm)openai/gpt-4.1-mini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dale_chall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factor(llm)google/gemini-2.5-flash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factor(llm)openai/gpt-4.1-mini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(HC3)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</w:tbl>
    <w:p>
      <w:pPr>
        <w:pStyle w:val="Titre2"/>
      </w:pPr>
      <w:r>
        <w:t xml:space="preserve">Model Fit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8"/>
        <w:gridCol w:w="778"/>
        <w:gridCol w:w="1487"/>
        <w:gridCol w:w="1927"/>
        <w:gridCol w:w="1683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Residual_SE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(HC3)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(HC3)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2026-07-03T11:35:27Z</dcterms:modified>
  <cp:category/>
</cp:coreProperties>
</file>