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B2. Sensitivity Analysis: Drop Influential Observations (HC3 Robust SEs)</w:t>
      </w:r>
    </w:p>
    <w:p>
      <w:pPr>
        <w:pStyle w:val="Normal"/>
      </w:pPr>
      <w:r>
        <w:t xml:space="preserve">Question fixed effects included but not shown. Rows dropped are the four highest Cook's-distance rows for each model.</w:t>
      </w:r>
    </w:p>
    <w:p>
      <w:pPr>
        <w:pStyle w:val="Titre2"/>
      </w:pPr>
      <w:r>
        <w:t xml:space="preserve">Coefficient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0"/>
        <w:gridCol w:w="3675"/>
        <w:gridCol w:w="1266"/>
        <w:gridCol w:w="1352"/>
        <w:gridCol w:w="1059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fk_grade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I(fk_grade^2)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0"/>
        <w:gridCol w:w="778"/>
        <w:gridCol w:w="1487"/>
        <w:gridCol w:w="1927"/>
        <w:gridCol w:w="1683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Residual_SE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(Drop Influential, HC3)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(Drop Influential, HC3)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2026-07-03T11:35:28Z</dcterms:modified>
  <cp:category/>
</cp:coreProperties>
</file>