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B4. Dale-Chall Model with Cluster-Robust Standard Errors</w:t>
      </w:r>
    </w:p>
    <w:p>
      <w:pPr>
        <w:pStyle w:val="Normal"/>
      </w:pPr>
      <w:r>
        <w:t xml:space="preserve">Question fixed effects included but not shown. Standard errors clustered by question_id.</w:t>
      </w:r>
    </w:p>
    <w:p>
      <w:pPr>
        <w:pStyle w:val="Titre2"/>
      </w:pPr>
      <w:r>
        <w:t xml:space="preserve">Coefficient Estimates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4"/>
        <w:gridCol w:w="3675"/>
        <w:gridCol w:w="1266"/>
        <w:gridCol w:w="1352"/>
        <w:gridCol w:w="1059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factor(llm)openai/gpt-4.1-mini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64"/>
        <w:gridCol w:w="778"/>
        <w:gridCol w:w="1487"/>
        <w:gridCol w:w="1927"/>
        <w:gridCol w:w="1683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Residual_SE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FE (Clustered by Question)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2026-07-03T11:35:29Z</dcterms:modified>
  <cp:category/>
</cp:coreProperties>
</file>