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C4. Dale-Chall Linear Model vs Natural Spline</w:t>
      </w:r>
    </w:p>
    <w:p>
      <w:pPr>
        <w:pStyle w:val="Normal"/>
      </w:pPr>
      <w:r>
        <w:t xml:space="preserve">Tests whether a flexible Dale-Chall specification improves fit relative to a linear Dale-Chall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88"/>
        <w:gridCol w:w="1597"/>
        <w:gridCol w:w="1084"/>
        <w:gridCol w:w="961"/>
        <w:gridCol w:w="839"/>
        <w:gridCol w:w="1438"/>
        <w:gridCol w:w="839"/>
        <w:gridCol w:w="104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 of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linear vs natural spline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linear vs natural spline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2026-07-03T11:35:31Z</dcterms:modified>
  <cp:category/>
</cp:coreProperties>
</file>