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D1. Collinearity Diagnostics (VIF / GVIF)</w:t>
      </w:r>
    </w:p>
    <w:p>
      <w:pPr>
        <w:pStyle w:val="Normal"/>
      </w:pPr>
      <w:r>
        <w:t xml:space="preserve">For factor variables, use the adjusted GVIF column when present.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5"/>
        <w:gridCol w:w="2233"/>
        <w:gridCol w:w="924"/>
        <w:gridCol w:w="961"/>
        <w:gridCol w:w="1932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GVIF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GVIF^(1/(2*Df))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(centered quadratic)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fk_c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(centered 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I(fk_c^2)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(centered 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(centered 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FKGL (centered quadratic)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factor(question_id)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dale_chall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factor(llm)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factor(prompt_id)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Dale-Chall (linear)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factor(question_id)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2026-07-03T11:35:32Z</dcterms:modified>
  <cp:category/>
</cp:coreProperties>
</file>