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D2. Heteroskedasticity Diagnostics (Breusch-Pagan Test)</w:t>
      </w:r>
    </w:p>
    <w:p>
      <w:pPr>
        <w:pStyle w:val="Normal"/>
      </w:pPr>
      <w:r>
        <w:t xml:space="preserve">Significant results motivate HC3 robust standard errors in the main tables.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0"/>
        <w:gridCol w:w="1535"/>
        <w:gridCol w:w="2428"/>
        <w:gridCol w:w="1132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BP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Degrees of Freedom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2026-07-03T11:35:32Z</dcterms:modified>
  <cp:category/>
</cp:coreProperties>
</file>