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D3. Influence Diagnostics</w:t>
      </w:r>
    </w:p>
    <w:p>
      <w:pPr>
        <w:pStyle w:val="Normal"/>
      </w:pPr>
      <w:r>
        <w:t xml:space="preserve">Rows are ranked by Cook's distance. Sensitivity models drop the top four rows for each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0"/>
        <w:gridCol w:w="851"/>
        <w:gridCol w:w="1315"/>
        <w:gridCol w:w="839"/>
        <w:gridCol w:w="255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Cooks_D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Studentized_Residual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-2.14</w:t>
            </w:r>
          </w:p>
        </w:tc>
      </w:tr>
    </w:tbl>
    <w:p>
      <w:pPr>
        <w:pStyle w:val="Titre2"/>
      </w:pPr>
      <w:r>
        <w:t xml:space="preserve">FKGL influence plot</w:t>
      </w:r>
    </w:p>
    <w:p>
      <w:pPr>
        <w:pStyle w:val="Normal"/>
      </w:pPr>
      <w:r>
        <w:rPr/>
        <w:drawing>
          <wp:inline distT="0" distB="0" distL="0" distR="0">
            <wp:extent cx="5943600" cy="43891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Dale-Chall influence plot</w:t>
      </w:r>
    </w:p>
    <w:p>
      <w:pPr>
        <w:pStyle w:val="Normal"/>
      </w:pPr>
      <w:r>
        <w:rPr/>
        <w:drawing>
          <wp:inline distT="0" distB="0" distL="0" distR="0">
            <wp:extent cx="5943600" cy="438912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45b765792bf0e14e3145a4817ae159c7bf614ac0.png"/>
<Relationship Id="rId8" Type="http://schemas.openxmlformats.org/officeDocument/2006/relationships/image" Target="media/eb4cfe6a549526eea1fa90fd79f0c5cdffd766e3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2026-07-03T11:35:33Z</dcterms:modified>
  <cp:category/>
</cp:coreProperties>
</file>