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Appendix D4. Residual Normality Diagnostics</w:t>
      </w:r>
    </w:p>
    <w:p>
      <w:pPr>
        <w:pStyle w:val="Normal"/>
      </w:pPr>
      <w:r>
        <w:t xml:space="preserve">Shapiro-Wilk tests and Q-Q plots are reported. Robust standard errors are used for inference.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440"/>
        <w:gridCol w:w="1450"/>
        <w:gridCol w:w="1132"/>
      </w:tblGrid>
      <w:tr>
        <w:trPr>
          <w:trHeight w:val="612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 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FKGL FE model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</w:tr>
      <w:tr>
        <w:trPr>
          <w:trHeight w:val="574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Dale-Chall FE model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</w:tr>
    </w:tbl>
    <w:p>
      <w:pPr>
        <w:pStyle w:val="Titre2"/>
      </w:pPr>
      <w:r>
        <w:t xml:space="preserve">FKGL model Q-Q plot</w:t>
      </w:r>
    </w:p>
    <w:p>
      <w:pPr>
        <w:pStyle w:val="Normal"/>
      </w:pPr>
      <w:r>
        <w:rPr/>
        <w:drawing>
          <wp:inline distT="0" distB="0" distL="0" distR="0">
            <wp:extent cx="5943600" cy="438912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89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itre2"/>
      </w:pPr>
      <w:r>
        <w:t xml:space="preserve">Dale-Chall model Q-Q plot</w:t>
      </w:r>
    </w:p>
    <w:p>
      <w:pPr>
        <w:pStyle w:val="Normal"/>
      </w:pPr>
      <w:r>
        <w:rPr/>
        <w:drawing>
          <wp:inline distT="0" distB="0" distL="0" distR="0">
            <wp:extent cx="5943600" cy="438912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89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Relationship Id="rId7" Type="http://schemas.openxmlformats.org/officeDocument/2006/relationships/image" Target="media/d391e872a44659448578f91617edf59ddb76ef79.png"/>
<Relationship Id="rId8" Type="http://schemas.openxmlformats.org/officeDocument/2006/relationships/image" Target="media/b8aa24bb7df2fffef8d1a5782223ff80bccebc44.png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2026-07-03T11:35:34Z</dcterms:modified>
  <cp:category/>
</cp:coreProperties>
</file>