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E2. Subgroup Results by LLM: Dale-Chall Model</w:t>
      </w:r>
    </w:p>
    <w:p>
      <w:pPr>
        <w:pStyle w:val="Normal"/>
      </w:pPr>
      <w:r>
        <w:t xml:space="preserve">HC3 robust standard errors reported within each LLM subgroup.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8"/>
        <w:gridCol w:w="1401"/>
        <w:gridCol w:w="1266"/>
        <w:gridCol w:w="1352"/>
        <w:gridCol w:w="1059"/>
        <w:gridCol w:w="1132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anthropic/claude-sonnet-4.5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openai/gpt-4.1-mini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dale_chall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2026-07-03T11:35:35Z</dcterms:modified>
  <cp:category/>
</cp:coreProperties>
</file>