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F1. Readability Manipulation Mixed-Model Coefficients</w:t>
      </w:r>
    </w:p>
    <w:p>
      <w:pPr>
        <w:pStyle w:val="Normal"/>
      </w:pPr>
      <w:r>
        <w:t xml:space="preserve">Models include LLM, prompt, their interaction, and a random intercept for question.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4140"/>
        <w:gridCol w:w="1266"/>
        <w:gridCol w:w="1352"/>
        <w:gridCol w:w="1084"/>
        <w:gridCol w:w="1059"/>
        <w:gridCol w:w="108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Pr(&gt;|t|)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llmgoogle/gemini-2.5-flash:prompt_id3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llmopenai/gpt-4.1-mini:prompt_id3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2026-07-03T11:35:36Z</dcterms:modified>
  <cp:category/>
</cp:coreProperties>
</file>