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Appendix F2. Readability Manipulation Mixed-Model ANOVA</w:t>
      </w:r>
    </w:p>
    <w:p>
      <w:pPr>
        <w:pStyle w:val="Normal"/>
      </w:pPr>
      <w:r>
        <w:t xml:space="preserve">Tests whether LLM, prompt, and their interaction systematically shift readability.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46"/>
        <w:gridCol w:w="1731"/>
        <w:gridCol w:w="1267"/>
        <w:gridCol w:w="1291"/>
        <w:gridCol w:w="1168"/>
        <w:gridCol w:w="1108"/>
        <w:gridCol w:w="1132"/>
        <w:gridCol w:w="1040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Pr(&gt;F)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mixed model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323.24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161.62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mixed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prompt_id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1,748.74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582.91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mixed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llm:prompt_id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mixed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643.94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mixed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prompt_id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8,084.35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2,694.78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mixed model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llm:prompt_id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765.34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127.56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2026-07-03T11:35:37Z</dcterms:modified>
  <cp:category/>
</cp:coreProperties>
</file>