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F3. LLM-Judge Agreement: Quadratically Weighted Kappa</w:t>
      </w:r>
    </w:p>
    <w:p>
      <w:pPr>
        <w:pStyle w:val="Normal"/>
      </w:pPr>
      <w:r>
        <w:t xml:space="preserve">Weighted kappa is calculated separately for the four SERVQUAL-inspired empathy items.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778"/>
        <w:gridCol w:w="209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Weighted_Kappa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individual_attention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caring_tone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customer_first_orientation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need_understanding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2026-07-03T11:35:37Z</dcterms:modified>
  <cp:category/>
</cp:coreProperties>
</file>