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D2. Heteroskedasticity Diagnostics (Breusch–Pagan Test)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9"/>
        <w:gridCol w:w="1535"/>
        <w:gridCol w:w="2428"/>
        <w:gridCol w:w="1695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54.77335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0.002633019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Dale–Chall FE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53.92066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0.002287421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2026-04-02T17:25:35Z</dcterms:modified>
  <cp:category/>
</cp:coreProperties>
</file>