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B7BB" w14:textId="5756EAA6" w:rsidR="00493B4F" w:rsidRDefault="00D92AF3" w:rsidP="00D92AF3">
      <w:pPr>
        <w:jc w:val="center"/>
        <w:rPr>
          <w:b/>
          <w:bCs/>
          <w:sz w:val="28"/>
          <w:szCs w:val="28"/>
        </w:rPr>
      </w:pPr>
      <w:r w:rsidRPr="0048496F">
        <w:rPr>
          <w:b/>
          <w:bCs/>
          <w:sz w:val="28"/>
          <w:szCs w:val="28"/>
        </w:rPr>
        <w:t xml:space="preserve">Note </w:t>
      </w:r>
      <w:r w:rsidR="0059018A" w:rsidRPr="0048496F">
        <w:rPr>
          <w:b/>
          <w:bCs/>
          <w:sz w:val="28"/>
          <w:szCs w:val="28"/>
        </w:rPr>
        <w:t xml:space="preserve">documentation </w:t>
      </w:r>
      <w:r w:rsidR="00074A27">
        <w:rPr>
          <w:b/>
          <w:bCs/>
          <w:sz w:val="28"/>
          <w:szCs w:val="28"/>
        </w:rPr>
        <w:t>EFE-A</w:t>
      </w:r>
    </w:p>
    <w:p w14:paraId="698199A6" w14:textId="185F3A46" w:rsidR="00074A27" w:rsidRPr="0048496F" w:rsidRDefault="00074A27" w:rsidP="00D92A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Enquête Formation Employeur Annuel</w:t>
      </w:r>
    </w:p>
    <w:p w14:paraId="5F21AB66" w14:textId="77777777" w:rsidR="00D92AF3" w:rsidRPr="0048496F" w:rsidRDefault="00D92AF3"/>
    <w:p w14:paraId="61B76DB1" w14:textId="77777777" w:rsidR="00D92AF3" w:rsidRPr="0048496F" w:rsidRDefault="00D92AF3"/>
    <w:p w14:paraId="6B44395D" w14:textId="77777777" w:rsidR="00D33DDE" w:rsidRPr="0048496F" w:rsidRDefault="00D33DDE" w:rsidP="00D33DDE">
      <w:pPr>
        <w:rPr>
          <w:b/>
        </w:rPr>
      </w:pPr>
    </w:p>
    <w:p w14:paraId="47766982" w14:textId="2D85C565" w:rsidR="009C7E3F" w:rsidRPr="0048496F" w:rsidRDefault="00D33DDE" w:rsidP="00D33DDE">
      <w:pPr>
        <w:rPr>
          <w:b/>
        </w:rPr>
      </w:pPr>
      <w:r w:rsidRPr="0048496F">
        <w:rPr>
          <w:b/>
        </w:rPr>
        <w:t>Présentation de l</w:t>
      </w:r>
      <w:r w:rsidR="009C7E3F" w:rsidRPr="0048496F">
        <w:rPr>
          <w:b/>
        </w:rPr>
        <w:t>’enquête 2020 auprès de la Génération 2017</w:t>
      </w:r>
    </w:p>
    <w:p w14:paraId="24BA8815" w14:textId="77777777" w:rsidR="009C7E3F" w:rsidRPr="003425A3" w:rsidRDefault="009C7E3F" w:rsidP="009C7E3F">
      <w:pPr>
        <w:jc w:val="both"/>
        <w:rPr>
          <w:color w:val="FF0000"/>
        </w:rPr>
      </w:pPr>
      <w:r w:rsidRPr="003425A3">
        <w:rPr>
          <w:color w:val="FF0000"/>
        </w:rPr>
        <w:t xml:space="preserve">D’août 2020 à mars 2021, le </w:t>
      </w:r>
      <w:proofErr w:type="spellStart"/>
      <w:r w:rsidRPr="003425A3">
        <w:rPr>
          <w:color w:val="FF0000"/>
        </w:rPr>
        <w:t>Céreq</w:t>
      </w:r>
      <w:proofErr w:type="spellEnd"/>
      <w:r w:rsidRPr="003425A3">
        <w:rPr>
          <w:color w:val="FF0000"/>
        </w:rPr>
        <w:t xml:space="preserve"> a interrogé un échantillon national de jeunes sortis du système éducatif au cours ou à l’issue de l’année scolaire 2016-2017 sur leurs premiers pas dans la vie active. Les 25 000 jeunes qui ont répondu sont représentatifs des 746 000 qui, cette année-là, ont quitté pour la première fois le système éducatif français, à tous niveaux de formation. L’objectif de cette enquête est d’étudier l’accès à l’emploi des jeunes et leur trajectoire professionnelle, en fonction de la formation initiale suivie et d’autres caractéristiques individuelles (genre, origines socioculturelles, etc.). </w:t>
      </w:r>
    </w:p>
    <w:p w14:paraId="710509C7" w14:textId="02741863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>L</w:t>
      </w:r>
      <w:r w:rsidR="00D33DDE" w:rsidRPr="0048496F">
        <w:rPr>
          <w:bCs/>
          <w:u w:val="single"/>
        </w:rPr>
        <w:t>e champ de l’enquête</w:t>
      </w:r>
    </w:p>
    <w:p w14:paraId="58BA3D4F" w14:textId="77777777" w:rsidR="00074A27" w:rsidRDefault="009C7E3F" w:rsidP="009C7E3F">
      <w:pPr>
        <w:jc w:val="both"/>
      </w:pPr>
      <w:r w:rsidRPr="0048496F">
        <w:t xml:space="preserve">L’enquête concerne les </w:t>
      </w:r>
      <w:r w:rsidR="00074A27">
        <w:t>entreprises de 1 salariés et plus du secteur privé hors ménage et extra territoriales</w:t>
      </w:r>
      <w:r w:rsidRPr="0048496F">
        <w:t>.</w:t>
      </w:r>
    </w:p>
    <w:p w14:paraId="0FC2D981" w14:textId="0E5CA12F" w:rsidR="00074A27" w:rsidRPr="0048496F" w:rsidRDefault="00074A27" w:rsidP="009C7E3F">
      <w:pPr>
        <w:jc w:val="both"/>
      </w:pPr>
    </w:p>
    <w:p w14:paraId="6FF95ABF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>La collecte</w:t>
      </w:r>
    </w:p>
    <w:p w14:paraId="57F53789" w14:textId="77777777" w:rsidR="008B755E" w:rsidRDefault="008B755E" w:rsidP="009C7E3F">
      <w:pPr>
        <w:jc w:val="both"/>
      </w:pPr>
      <w:r w:rsidRPr="0048496F">
        <w:t>Le</w:t>
      </w:r>
      <w:r w:rsidR="009C7E3F" w:rsidRPr="0048496F">
        <w:t xml:space="preserve"> mode de collecte </w:t>
      </w:r>
      <w:r>
        <w:t>permet</w:t>
      </w:r>
      <w:r w:rsidR="009C7E3F" w:rsidRPr="0048496F">
        <w:t xml:space="preserve"> de répondre par internet ou par téléphone.</w:t>
      </w:r>
    </w:p>
    <w:p w14:paraId="4C1B45C0" w14:textId="3A3583B8" w:rsidR="009C7E3F" w:rsidRPr="0048496F" w:rsidRDefault="009C7E3F" w:rsidP="009C7E3F">
      <w:pPr>
        <w:jc w:val="both"/>
      </w:pPr>
      <w:r w:rsidRPr="0048496F">
        <w:t xml:space="preserve">Il a porté sur </w:t>
      </w:r>
      <w:r w:rsidR="008B755E">
        <w:t>les données structurelles de l’entreprise, la politique de formation de l’entreprise, les caractéristiques de le formation professionnelle continue, ses couts, les relations avec les OPCO, l’apprentissage, les obstacles à la formation, les raisons de non-formation et un module spécifique sur la crise sanitaire.</w:t>
      </w:r>
    </w:p>
    <w:p w14:paraId="05B6EDF4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 xml:space="preserve">Une enquête labélisée d’intérêt général et de qualité statistique </w:t>
      </w:r>
    </w:p>
    <w:p w14:paraId="55D35A7E" w14:textId="0F9B28F1" w:rsidR="009C7E3F" w:rsidRDefault="003425A3" w:rsidP="009C7E3F">
      <w:pPr>
        <w:jc w:val="both"/>
      </w:pPr>
      <w:r>
        <w:t>L’enquête EFE-A</w:t>
      </w:r>
      <w:r w:rsidR="009C7E3F" w:rsidRPr="0048496F">
        <w:t xml:space="preserve"> </w:t>
      </w:r>
      <w:r>
        <w:t>est une e</w:t>
      </w:r>
      <w:r>
        <w:rPr>
          <w:rFonts w:ascii="IBM Plex Sans" w:hAnsi="IBM Plex Sans"/>
          <w:color w:val="303032"/>
          <w:shd w:val="clear" w:color="auto" w:fill="FFFFFF"/>
        </w:rPr>
        <w:t>nquête d'intérêt général et de qualité statistique à caractère obligatoire</w:t>
      </w:r>
      <w:r w:rsidR="009C7E3F" w:rsidRPr="0048496F">
        <w:t>, réalisées dans le cadre de la loi n° 51-711 du 7 juin 1951 sur l’obligation, la coordination et le secret en matière de statistiques, garantissent aux enquêtés la confidentialité des informations collectées et leur seule utilisation à des fins d’études et de recherche.</w:t>
      </w:r>
    </w:p>
    <w:p w14:paraId="47B700EC" w14:textId="687A553A" w:rsidR="003425A3" w:rsidRDefault="003425A3" w:rsidP="009C7E3F">
      <w:pPr>
        <w:jc w:val="both"/>
      </w:pPr>
      <w:hyperlink r:id="rId7" w:tgtFrame="_blank" w:history="1"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Publication au Journal Officie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l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 xml:space="preserve"> du 16 avril 2023</w:t>
        </w:r>
      </w:hyperlink>
    </w:p>
    <w:p w14:paraId="25058118" w14:textId="77777777" w:rsidR="00640096" w:rsidRPr="0048496F" w:rsidRDefault="00640096" w:rsidP="00640096"/>
    <w:p w14:paraId="5E50F9C9" w14:textId="58BC6FE5" w:rsidR="003A277D" w:rsidRDefault="003A277D" w:rsidP="003A277D">
      <w:pPr>
        <w:rPr>
          <w:b/>
          <w:bCs/>
        </w:rPr>
      </w:pPr>
      <w:r w:rsidRPr="0048496F">
        <w:rPr>
          <w:b/>
          <w:bCs/>
        </w:rPr>
        <w:t>Les indicateurs</w:t>
      </w:r>
    </w:p>
    <w:p w14:paraId="791E4B69" w14:textId="2B6F1337" w:rsidR="003425A3" w:rsidRP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rFonts w:ascii="Courier" w:eastAsia="Times New Roman" w:hAnsi="Courier" w:cs="Calibri"/>
          <w:color w:val="000000"/>
          <w:kern w:val="0"/>
          <w:sz w:val="20"/>
          <w:szCs w:val="20"/>
          <w:lang w:eastAsia="fr-FR"/>
          <w14:ligatures w14:val="none"/>
        </w:rPr>
        <w:t>Part de salariés formés</w:t>
      </w:r>
    </w:p>
    <w:p w14:paraId="2CA7F64C" w14:textId="377EF58B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b/>
          <w:bCs/>
        </w:rPr>
        <w:t>Part d'entreprises formatrices cours et stages et autres formes</w:t>
      </w:r>
    </w:p>
    <w:p w14:paraId="0ABCD5D4" w14:textId="4B2265EA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b/>
          <w:bCs/>
        </w:rPr>
        <w:t>Part d'entreprises formatrices en cours et stages</w:t>
      </w:r>
    </w:p>
    <w:p w14:paraId="57AF90D0" w14:textId="588CED31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b/>
          <w:bCs/>
        </w:rPr>
        <w:t>Durée moyenne de formation par stagiaire</w:t>
      </w:r>
    </w:p>
    <w:p w14:paraId="5987D766" w14:textId="6544811D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b/>
          <w:bCs/>
        </w:rPr>
        <w:t>Durée moyenne de formation par salarié</w:t>
      </w:r>
    </w:p>
    <w:p w14:paraId="58054B69" w14:textId="67F1AEA7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 w:rsidRPr="003425A3">
        <w:rPr>
          <w:b/>
          <w:bCs/>
        </w:rPr>
        <w:t>Part d'entreprises formatrices exclusivement en autres formes de formations</w:t>
      </w:r>
    </w:p>
    <w:p w14:paraId="786D9071" w14:textId="27CC2473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Les principaux domaines de formation des entreprises formatrices </w:t>
      </w:r>
    </w:p>
    <w:p w14:paraId="5A502BCE" w14:textId="77777777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Les principaux freins à la formation des entreprises formatrices </w:t>
      </w:r>
    </w:p>
    <w:p w14:paraId="57B6526C" w14:textId="19BBF817" w:rsidR="003425A3" w:rsidRDefault="003425A3" w:rsidP="003425A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Les principales raisons de non-formation des entreprises non formatrices </w:t>
      </w:r>
    </w:p>
    <w:p w14:paraId="7F4237F2" w14:textId="77777777" w:rsidR="003425A3" w:rsidRPr="003425A3" w:rsidRDefault="003425A3" w:rsidP="003425A3">
      <w:pPr>
        <w:pStyle w:val="Paragraphedeliste"/>
        <w:rPr>
          <w:b/>
          <w:bCs/>
        </w:rPr>
      </w:pPr>
    </w:p>
    <w:p w14:paraId="49DE1793" w14:textId="23D16FDB" w:rsidR="00D92AF3" w:rsidRPr="0048496F" w:rsidRDefault="00D92AF3" w:rsidP="00D464DD"/>
    <w:sectPr w:rsidR="00D92AF3" w:rsidRPr="004849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6EB0" w14:textId="77777777" w:rsidR="00091142" w:rsidRDefault="00091142" w:rsidP="003A277D">
      <w:pPr>
        <w:spacing w:after="0" w:line="240" w:lineRule="auto"/>
      </w:pPr>
      <w:r>
        <w:separator/>
      </w:r>
    </w:p>
  </w:endnote>
  <w:endnote w:type="continuationSeparator" w:id="0">
    <w:p w14:paraId="38277275" w14:textId="77777777" w:rsidR="00091142" w:rsidRDefault="00091142" w:rsidP="003A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Condensed">
    <w:altName w:val="IBM Plex Sans Condensed"/>
    <w:charset w:val="00"/>
    <w:family w:val="swiss"/>
    <w:pitch w:val="variable"/>
    <w:sig w:usb0="A000006F" w:usb1="5000207B" w:usb2="00000000" w:usb3="00000000" w:csb0="000001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851291"/>
      <w:docPartObj>
        <w:docPartGallery w:val="Page Numbers (Bottom of Page)"/>
        <w:docPartUnique/>
      </w:docPartObj>
    </w:sdtPr>
    <w:sdtContent>
      <w:p w14:paraId="14555267" w14:textId="45C3EA4D" w:rsidR="003A277D" w:rsidRDefault="003A27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AC880" w14:textId="77777777" w:rsidR="003A277D" w:rsidRDefault="003A27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62A8" w14:textId="77777777" w:rsidR="00091142" w:rsidRDefault="00091142" w:rsidP="003A277D">
      <w:pPr>
        <w:spacing w:after="0" w:line="240" w:lineRule="auto"/>
      </w:pPr>
      <w:r>
        <w:separator/>
      </w:r>
    </w:p>
  </w:footnote>
  <w:footnote w:type="continuationSeparator" w:id="0">
    <w:p w14:paraId="29DF63FC" w14:textId="77777777" w:rsidR="00091142" w:rsidRDefault="00091142" w:rsidP="003A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401"/>
    <w:multiLevelType w:val="hybridMultilevel"/>
    <w:tmpl w:val="E848A3BA"/>
    <w:lvl w:ilvl="0" w:tplc="39947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E91"/>
    <w:multiLevelType w:val="hybridMultilevel"/>
    <w:tmpl w:val="1E4478CE"/>
    <w:lvl w:ilvl="0" w:tplc="FF8084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1351"/>
    <w:multiLevelType w:val="hybridMultilevel"/>
    <w:tmpl w:val="B718B176"/>
    <w:lvl w:ilvl="0" w:tplc="B0007354">
      <w:numFmt w:val="bullet"/>
      <w:lvlText w:val="-"/>
      <w:lvlJc w:val="left"/>
      <w:pPr>
        <w:ind w:left="720" w:hanging="360"/>
      </w:pPr>
      <w:rPr>
        <w:rFonts w:ascii="Courier" w:eastAsia="Times New Roman" w:hAnsi="Courier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8555">
    <w:abstractNumId w:val="1"/>
  </w:num>
  <w:num w:numId="2" w16cid:durableId="1240674877">
    <w:abstractNumId w:val="0"/>
  </w:num>
  <w:num w:numId="3" w16cid:durableId="33079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F3"/>
    <w:rsid w:val="00074A27"/>
    <w:rsid w:val="00091142"/>
    <w:rsid w:val="000A1739"/>
    <w:rsid w:val="000B2E41"/>
    <w:rsid w:val="00100CA1"/>
    <w:rsid w:val="00162DCB"/>
    <w:rsid w:val="001F0D91"/>
    <w:rsid w:val="002945F8"/>
    <w:rsid w:val="002C0477"/>
    <w:rsid w:val="003425A3"/>
    <w:rsid w:val="003A277D"/>
    <w:rsid w:val="00481A7D"/>
    <w:rsid w:val="0048496F"/>
    <w:rsid w:val="00493B4F"/>
    <w:rsid w:val="0059018A"/>
    <w:rsid w:val="00640096"/>
    <w:rsid w:val="006D3083"/>
    <w:rsid w:val="007D7AA3"/>
    <w:rsid w:val="00822D79"/>
    <w:rsid w:val="008B755E"/>
    <w:rsid w:val="00907E7C"/>
    <w:rsid w:val="00956538"/>
    <w:rsid w:val="009C7E3F"/>
    <w:rsid w:val="00B17623"/>
    <w:rsid w:val="00B70AA6"/>
    <w:rsid w:val="00BF4382"/>
    <w:rsid w:val="00C27AB0"/>
    <w:rsid w:val="00CC39A1"/>
    <w:rsid w:val="00D33DDE"/>
    <w:rsid w:val="00D464DD"/>
    <w:rsid w:val="00D92AF3"/>
    <w:rsid w:val="00E830E3"/>
    <w:rsid w:val="00F60737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DFB7"/>
  <w15:chartTrackingRefBased/>
  <w15:docId w15:val="{A09BFB98-894E-4816-90A8-47E4F261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unhideWhenUsed/>
    <w:qFormat/>
    <w:rsid w:val="00907E7C"/>
    <w:pPr>
      <w:keepNext/>
      <w:keepLines/>
      <w:spacing w:after="29" w:line="264" w:lineRule="auto"/>
      <w:ind w:left="34" w:hanging="10"/>
      <w:jc w:val="center"/>
      <w:outlineLvl w:val="1"/>
    </w:pPr>
    <w:rPr>
      <w:rFonts w:ascii="Arial" w:eastAsia="Arial" w:hAnsi="Arial" w:cs="Arial"/>
      <w:b/>
      <w:color w:val="262626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77D"/>
  </w:style>
  <w:style w:type="paragraph" w:styleId="Pieddepage">
    <w:name w:val="footer"/>
    <w:basedOn w:val="Normal"/>
    <w:link w:val="Pieddepag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77D"/>
  </w:style>
  <w:style w:type="paragraph" w:customStyle="1" w:styleId="Title1">
    <w:name w:val="Title1"/>
    <w:basedOn w:val="Normal"/>
    <w:qFormat/>
    <w:rsid w:val="0048496F"/>
    <w:pPr>
      <w:spacing w:after="0" w:line="264" w:lineRule="auto"/>
    </w:pPr>
    <w:rPr>
      <w:rFonts w:ascii="Arial" w:hAnsi="Arial"/>
      <w:b/>
      <w:color w:val="008B99"/>
      <w:kern w:val="0"/>
      <w:sz w:val="2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07E7C"/>
    <w:rPr>
      <w:rFonts w:ascii="Arial" w:eastAsia="Arial" w:hAnsi="Arial" w:cs="Arial"/>
      <w:b/>
      <w:color w:val="262626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C39A1"/>
    <w:pPr>
      <w:ind w:left="720"/>
      <w:contextualSpacing/>
    </w:pPr>
  </w:style>
  <w:style w:type="paragraph" w:customStyle="1" w:styleId="Pa28">
    <w:name w:val="Pa28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1">
    <w:name w:val="Pa81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4">
    <w:name w:val="Pa84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character" w:customStyle="1" w:styleId="A14">
    <w:name w:val="A14"/>
    <w:uiPriority w:val="99"/>
    <w:rsid w:val="00E830E3"/>
    <w:rPr>
      <w:rFonts w:ascii="IBM Plex Sans Condensed" w:hAnsi="IBM Plex Sans Condensed" w:cs="IBM Plex Sans Condensed"/>
      <w:color w:val="000000"/>
      <w:sz w:val="1000"/>
      <w:szCs w:val="1000"/>
    </w:rPr>
  </w:style>
  <w:style w:type="character" w:styleId="Lienhypertexte">
    <w:name w:val="Hyperlink"/>
    <w:basedOn w:val="Policepardfaut"/>
    <w:uiPriority w:val="99"/>
    <w:semiHidden/>
    <w:unhideWhenUsed/>
    <w:rsid w:val="003425A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ereq.fr/sites/default/files/2023-04/Extrait%20Journal%20officiel%20EFE-a%20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Olivier</dc:creator>
  <cp:keywords/>
  <dc:description/>
  <cp:lastModifiedBy>NOACK Edmond</cp:lastModifiedBy>
  <cp:revision>2</cp:revision>
  <dcterms:created xsi:type="dcterms:W3CDTF">2023-12-18T15:31:00Z</dcterms:created>
  <dcterms:modified xsi:type="dcterms:W3CDTF">2023-12-18T15:31:00Z</dcterms:modified>
</cp:coreProperties>
</file>